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F1176" w14:textId="444BB303" w:rsidR="005F552C" w:rsidRDefault="005F552C" w:rsidP="00B10EC6">
      <w:pPr>
        <w:spacing w:after="0" w:line="240" w:lineRule="auto"/>
        <w:rPr>
          <w:rFonts w:ascii="Arial" w:hAnsi="Arial" w:cs="Arial"/>
          <w:b/>
          <w:bCs/>
          <w:color w:val="003594"/>
          <w:sz w:val="25"/>
          <w:szCs w:val="25"/>
        </w:rPr>
      </w:pPr>
      <w:r w:rsidRPr="00643511">
        <w:rPr>
          <w:rFonts w:ascii="Arial" w:hAnsi="Arial" w:cs="Arial"/>
          <w:b/>
          <w:bCs/>
          <w:color w:val="003594"/>
          <w:sz w:val="25"/>
          <w:szCs w:val="25"/>
        </w:rPr>
        <w:t>Comunicato stampa</w:t>
      </w:r>
      <w:r w:rsidR="00FB0A77">
        <w:rPr>
          <w:rFonts w:ascii="Arial" w:hAnsi="Arial" w:cs="Arial"/>
          <w:b/>
          <w:bCs/>
          <w:color w:val="003594"/>
          <w:sz w:val="25"/>
          <w:szCs w:val="25"/>
        </w:rPr>
        <w:tab/>
      </w:r>
      <w:r w:rsidR="00FB0A77">
        <w:rPr>
          <w:rFonts w:ascii="Arial" w:hAnsi="Arial" w:cs="Arial"/>
          <w:b/>
          <w:bCs/>
          <w:color w:val="003594"/>
          <w:sz w:val="25"/>
          <w:szCs w:val="25"/>
        </w:rPr>
        <w:tab/>
      </w:r>
      <w:r w:rsidR="00FB0A77">
        <w:rPr>
          <w:rFonts w:ascii="Arial" w:hAnsi="Arial" w:cs="Arial"/>
          <w:b/>
          <w:bCs/>
          <w:color w:val="003594"/>
          <w:sz w:val="25"/>
          <w:szCs w:val="25"/>
        </w:rPr>
        <w:tab/>
      </w:r>
      <w:r w:rsidR="00FB0A77">
        <w:rPr>
          <w:rFonts w:ascii="Arial" w:hAnsi="Arial" w:cs="Arial"/>
          <w:b/>
          <w:bCs/>
          <w:color w:val="003594"/>
          <w:sz w:val="25"/>
          <w:szCs w:val="25"/>
        </w:rPr>
        <w:tab/>
      </w:r>
      <w:r w:rsidR="00FB0A77">
        <w:rPr>
          <w:rFonts w:ascii="Arial" w:hAnsi="Arial" w:cs="Arial"/>
          <w:b/>
          <w:bCs/>
          <w:color w:val="003594"/>
          <w:sz w:val="25"/>
          <w:szCs w:val="25"/>
        </w:rPr>
        <w:tab/>
      </w:r>
      <w:r w:rsidR="00FB0A77">
        <w:rPr>
          <w:rFonts w:ascii="Arial" w:hAnsi="Arial" w:cs="Arial"/>
          <w:b/>
          <w:bCs/>
          <w:color w:val="003594"/>
          <w:sz w:val="25"/>
          <w:szCs w:val="25"/>
        </w:rPr>
        <w:tab/>
      </w:r>
      <w:r w:rsidR="00FB0A77">
        <w:rPr>
          <w:rFonts w:ascii="Arial" w:hAnsi="Arial" w:cs="Arial"/>
          <w:b/>
          <w:bCs/>
          <w:color w:val="003594"/>
          <w:sz w:val="25"/>
          <w:szCs w:val="25"/>
        </w:rPr>
        <w:tab/>
      </w:r>
      <w:r w:rsidR="00FB0A77">
        <w:rPr>
          <w:rFonts w:ascii="Arial" w:hAnsi="Arial" w:cs="Arial"/>
          <w:b/>
          <w:bCs/>
          <w:color w:val="003594"/>
          <w:sz w:val="25"/>
          <w:szCs w:val="25"/>
        </w:rPr>
        <w:tab/>
      </w:r>
    </w:p>
    <w:p w14:paraId="507DB1BC" w14:textId="77777777" w:rsidR="00B10EC6" w:rsidRPr="00FB0A77" w:rsidRDefault="00B10EC6" w:rsidP="00B10EC6">
      <w:pPr>
        <w:spacing w:after="0" w:line="240" w:lineRule="auto"/>
        <w:rPr>
          <w:rFonts w:ascii="Arial" w:hAnsi="Arial" w:cs="Arial"/>
          <w:b/>
          <w:bCs/>
          <w:color w:val="003594"/>
          <w:sz w:val="16"/>
          <w:szCs w:val="16"/>
        </w:rPr>
      </w:pPr>
    </w:p>
    <w:p w14:paraId="01185949" w14:textId="171E7889" w:rsidR="0070105F" w:rsidRDefault="00767C56" w:rsidP="0070105F">
      <w:pPr>
        <w:pStyle w:val="Default"/>
        <w:jc w:val="both"/>
        <w:rPr>
          <w:color w:val="003594"/>
          <w:sz w:val="40"/>
          <w:szCs w:val="40"/>
        </w:rPr>
      </w:pPr>
      <w:r>
        <w:rPr>
          <w:color w:val="003594"/>
          <w:sz w:val="40"/>
          <w:szCs w:val="40"/>
        </w:rPr>
        <w:t xml:space="preserve">Presentato il </w:t>
      </w:r>
      <w:proofErr w:type="gramStart"/>
      <w:r>
        <w:rPr>
          <w:color w:val="003594"/>
          <w:sz w:val="40"/>
          <w:szCs w:val="40"/>
        </w:rPr>
        <w:t>1</w:t>
      </w:r>
      <w:r w:rsidR="00172859">
        <w:rPr>
          <w:color w:val="003594"/>
          <w:sz w:val="40"/>
          <w:szCs w:val="40"/>
        </w:rPr>
        <w:t>9</w:t>
      </w:r>
      <w:r>
        <w:rPr>
          <w:color w:val="003594"/>
          <w:sz w:val="40"/>
          <w:szCs w:val="40"/>
        </w:rPr>
        <w:t>°</w:t>
      </w:r>
      <w:proofErr w:type="gramEnd"/>
      <w:r>
        <w:rPr>
          <w:color w:val="003594"/>
          <w:sz w:val="40"/>
          <w:szCs w:val="40"/>
        </w:rPr>
        <w:t xml:space="preserve"> Rapporto Economico della BCC </w:t>
      </w:r>
      <w:proofErr w:type="spellStart"/>
      <w:r>
        <w:rPr>
          <w:color w:val="003594"/>
          <w:sz w:val="40"/>
          <w:szCs w:val="40"/>
        </w:rPr>
        <w:t>Mediocrati</w:t>
      </w:r>
      <w:proofErr w:type="spellEnd"/>
      <w:r>
        <w:rPr>
          <w:color w:val="003594"/>
          <w:sz w:val="40"/>
          <w:szCs w:val="40"/>
        </w:rPr>
        <w:t xml:space="preserve">. </w:t>
      </w:r>
      <w:r w:rsidR="00172859">
        <w:rPr>
          <w:color w:val="003594"/>
          <w:sz w:val="40"/>
          <w:szCs w:val="40"/>
        </w:rPr>
        <w:t>Autonomia differenziata, contrari 4 imprenditori su 10</w:t>
      </w:r>
      <w:r>
        <w:rPr>
          <w:color w:val="003594"/>
          <w:sz w:val="40"/>
          <w:szCs w:val="40"/>
        </w:rPr>
        <w:t>.</w:t>
      </w:r>
    </w:p>
    <w:p w14:paraId="1E25ECC9" w14:textId="77777777" w:rsidR="005C49C1" w:rsidRPr="00FB0A77" w:rsidRDefault="005C49C1" w:rsidP="0070105F">
      <w:pPr>
        <w:pStyle w:val="Default"/>
        <w:jc w:val="both"/>
        <w:rPr>
          <w:rFonts w:eastAsia="Calibri"/>
          <w:color w:val="003594"/>
          <w:sz w:val="16"/>
          <w:szCs w:val="16"/>
        </w:rPr>
      </w:pPr>
    </w:p>
    <w:p w14:paraId="4EDF0A4B" w14:textId="1D340B5D" w:rsidR="002C0D3D" w:rsidRDefault="00767C56" w:rsidP="00B35DC7">
      <w:pPr>
        <w:spacing w:after="0" w:line="400" w:lineRule="exact"/>
        <w:rPr>
          <w:rFonts w:ascii="Arial" w:eastAsia="MS PGothic" w:hAnsi="Arial" w:cs="Arial"/>
          <w:i/>
          <w:iCs/>
          <w:color w:val="009671"/>
          <w:kern w:val="24"/>
          <w:sz w:val="36"/>
          <w:szCs w:val="36"/>
          <w:lang w:eastAsia="it-IT"/>
        </w:rPr>
      </w:pPr>
      <w:proofErr w:type="spellStart"/>
      <w:r>
        <w:rPr>
          <w:rFonts w:ascii="Arial" w:eastAsia="MS PGothic" w:hAnsi="Arial" w:cs="Arial"/>
          <w:i/>
          <w:iCs/>
          <w:color w:val="009671"/>
          <w:kern w:val="24"/>
          <w:sz w:val="36"/>
          <w:szCs w:val="36"/>
          <w:lang w:eastAsia="it-IT"/>
        </w:rPr>
        <w:t>Paldino</w:t>
      </w:r>
      <w:proofErr w:type="spellEnd"/>
      <w:r w:rsidR="00B35DC7">
        <w:rPr>
          <w:rFonts w:ascii="Arial" w:eastAsia="MS PGothic" w:hAnsi="Arial" w:cs="Arial"/>
          <w:i/>
          <w:iCs/>
          <w:color w:val="009671"/>
          <w:kern w:val="24"/>
          <w:sz w:val="36"/>
          <w:szCs w:val="36"/>
          <w:lang w:eastAsia="it-IT"/>
        </w:rPr>
        <w:t xml:space="preserve">, </w:t>
      </w:r>
      <w:r w:rsidR="0054660C">
        <w:rPr>
          <w:rFonts w:ascii="Arial" w:eastAsia="MS PGothic" w:hAnsi="Arial" w:cs="Arial"/>
          <w:i/>
          <w:iCs/>
          <w:color w:val="009671"/>
          <w:kern w:val="24"/>
          <w:sz w:val="36"/>
          <w:szCs w:val="36"/>
          <w:lang w:eastAsia="it-IT"/>
        </w:rPr>
        <w:t>p</w:t>
      </w:r>
      <w:r>
        <w:rPr>
          <w:rFonts w:ascii="Arial" w:eastAsia="MS PGothic" w:hAnsi="Arial" w:cs="Arial"/>
          <w:i/>
          <w:iCs/>
          <w:color w:val="009671"/>
          <w:kern w:val="24"/>
          <w:sz w:val="36"/>
          <w:szCs w:val="36"/>
          <w:lang w:eastAsia="it-IT"/>
        </w:rPr>
        <w:t xml:space="preserve">residente BCC </w:t>
      </w:r>
      <w:proofErr w:type="spellStart"/>
      <w:r>
        <w:rPr>
          <w:rFonts w:ascii="Arial" w:eastAsia="MS PGothic" w:hAnsi="Arial" w:cs="Arial"/>
          <w:i/>
          <w:iCs/>
          <w:color w:val="009671"/>
          <w:kern w:val="24"/>
          <w:sz w:val="36"/>
          <w:szCs w:val="36"/>
          <w:lang w:eastAsia="it-IT"/>
        </w:rPr>
        <w:t>Mediocrati</w:t>
      </w:r>
      <w:proofErr w:type="spellEnd"/>
      <w:r w:rsidR="00B35DC7">
        <w:rPr>
          <w:rFonts w:ascii="Arial" w:eastAsia="MS PGothic" w:hAnsi="Arial" w:cs="Arial"/>
          <w:i/>
          <w:iCs/>
          <w:color w:val="009671"/>
          <w:kern w:val="24"/>
          <w:sz w:val="36"/>
          <w:szCs w:val="36"/>
          <w:lang w:eastAsia="it-IT"/>
        </w:rPr>
        <w:t>: “</w:t>
      </w:r>
      <w:r w:rsidR="00172859">
        <w:rPr>
          <w:rFonts w:ascii="Arial" w:eastAsia="MS PGothic" w:hAnsi="Arial" w:cs="Arial"/>
          <w:i/>
          <w:iCs/>
          <w:color w:val="009671"/>
          <w:kern w:val="24"/>
          <w:sz w:val="36"/>
          <w:szCs w:val="36"/>
          <w:lang w:eastAsia="it-IT"/>
        </w:rPr>
        <w:t>a</w:t>
      </w:r>
      <w:r w:rsidR="00172859" w:rsidRPr="00172859">
        <w:rPr>
          <w:rFonts w:ascii="Arial" w:eastAsia="MS PGothic" w:hAnsi="Arial" w:cs="Arial"/>
          <w:i/>
          <w:iCs/>
          <w:color w:val="009671"/>
          <w:kern w:val="24"/>
          <w:sz w:val="36"/>
          <w:szCs w:val="36"/>
          <w:lang w:eastAsia="it-IT"/>
        </w:rPr>
        <w:t xml:space="preserve">lla definizione </w:t>
      </w:r>
      <w:r w:rsidR="00172859">
        <w:rPr>
          <w:rFonts w:ascii="Arial" w:eastAsia="MS PGothic" w:hAnsi="Arial" w:cs="Arial"/>
          <w:i/>
          <w:iCs/>
          <w:color w:val="009671"/>
          <w:kern w:val="24"/>
          <w:sz w:val="36"/>
          <w:szCs w:val="36"/>
          <w:lang w:eastAsia="it-IT"/>
        </w:rPr>
        <w:t>dei L</w:t>
      </w:r>
      <w:r w:rsidR="00172859" w:rsidRPr="00172859">
        <w:rPr>
          <w:rFonts w:ascii="Arial" w:eastAsia="MS PGothic" w:hAnsi="Arial" w:cs="Arial"/>
          <w:i/>
          <w:iCs/>
          <w:color w:val="009671"/>
          <w:kern w:val="24"/>
          <w:sz w:val="36"/>
          <w:szCs w:val="36"/>
          <w:lang w:eastAsia="it-IT"/>
        </w:rPr>
        <w:t xml:space="preserve">ivelli </w:t>
      </w:r>
      <w:r w:rsidR="00172859">
        <w:rPr>
          <w:rFonts w:ascii="Arial" w:eastAsia="MS PGothic" w:hAnsi="Arial" w:cs="Arial"/>
          <w:i/>
          <w:iCs/>
          <w:color w:val="009671"/>
          <w:kern w:val="24"/>
          <w:sz w:val="36"/>
          <w:szCs w:val="36"/>
          <w:lang w:eastAsia="it-IT"/>
        </w:rPr>
        <w:t>E</w:t>
      </w:r>
      <w:r w:rsidR="00172859" w:rsidRPr="00172859">
        <w:rPr>
          <w:rFonts w:ascii="Arial" w:eastAsia="MS PGothic" w:hAnsi="Arial" w:cs="Arial"/>
          <w:i/>
          <w:iCs/>
          <w:color w:val="009671"/>
          <w:kern w:val="24"/>
          <w:sz w:val="36"/>
          <w:szCs w:val="36"/>
          <w:lang w:eastAsia="it-IT"/>
        </w:rPr>
        <w:t xml:space="preserve">ssenziali delle </w:t>
      </w:r>
      <w:r w:rsidR="00172859">
        <w:rPr>
          <w:rFonts w:ascii="Arial" w:eastAsia="MS PGothic" w:hAnsi="Arial" w:cs="Arial"/>
          <w:i/>
          <w:iCs/>
          <w:color w:val="009671"/>
          <w:kern w:val="24"/>
          <w:sz w:val="36"/>
          <w:szCs w:val="36"/>
          <w:lang w:eastAsia="it-IT"/>
        </w:rPr>
        <w:t>P</w:t>
      </w:r>
      <w:r w:rsidR="00172859" w:rsidRPr="00172859">
        <w:rPr>
          <w:rFonts w:ascii="Arial" w:eastAsia="MS PGothic" w:hAnsi="Arial" w:cs="Arial"/>
          <w:i/>
          <w:iCs/>
          <w:color w:val="009671"/>
          <w:kern w:val="24"/>
          <w:sz w:val="36"/>
          <w:szCs w:val="36"/>
          <w:lang w:eastAsia="it-IT"/>
        </w:rPr>
        <w:t>restazioni</w:t>
      </w:r>
      <w:r w:rsidR="00172859">
        <w:rPr>
          <w:rFonts w:ascii="Arial" w:eastAsia="MS PGothic" w:hAnsi="Arial" w:cs="Arial"/>
          <w:i/>
          <w:iCs/>
          <w:color w:val="009671"/>
          <w:kern w:val="24"/>
          <w:sz w:val="36"/>
          <w:szCs w:val="36"/>
          <w:lang w:eastAsia="it-IT"/>
        </w:rPr>
        <w:t xml:space="preserve"> </w:t>
      </w:r>
      <w:r w:rsidR="00172859" w:rsidRPr="00172859">
        <w:rPr>
          <w:rFonts w:ascii="Arial" w:eastAsia="MS PGothic" w:hAnsi="Arial" w:cs="Arial"/>
          <w:i/>
          <w:iCs/>
          <w:color w:val="009671"/>
          <w:kern w:val="24"/>
          <w:sz w:val="36"/>
          <w:szCs w:val="36"/>
          <w:lang w:eastAsia="it-IT"/>
        </w:rPr>
        <w:t>è legata l’efficienza dei servizi pubblici, e ad essi sono inevitabilmente legate le performance delle imprese</w:t>
      </w:r>
      <w:r w:rsidR="00172859">
        <w:rPr>
          <w:rFonts w:ascii="Arial" w:eastAsia="MS PGothic" w:hAnsi="Arial" w:cs="Arial"/>
          <w:i/>
          <w:iCs/>
          <w:color w:val="009671"/>
          <w:kern w:val="24"/>
          <w:sz w:val="36"/>
          <w:szCs w:val="36"/>
          <w:lang w:eastAsia="it-IT"/>
        </w:rPr>
        <w:t>, ma d</w:t>
      </w:r>
      <w:r w:rsidR="00172859" w:rsidRPr="00172859">
        <w:rPr>
          <w:rFonts w:ascii="Arial" w:eastAsia="MS PGothic" w:hAnsi="Arial" w:cs="Arial"/>
          <w:i/>
          <w:iCs/>
          <w:color w:val="009671"/>
          <w:kern w:val="24"/>
          <w:sz w:val="36"/>
          <w:szCs w:val="36"/>
          <w:lang w:eastAsia="it-IT"/>
        </w:rPr>
        <w:t>efinire i LEP non significa riuscire a garantirli perché sono necessarie risorse finanziarie importanti»</w:t>
      </w:r>
      <w:r w:rsidR="00B35DC7">
        <w:rPr>
          <w:rFonts w:ascii="Arial" w:eastAsia="MS PGothic" w:hAnsi="Arial" w:cs="Arial"/>
          <w:i/>
          <w:iCs/>
          <w:color w:val="009671"/>
          <w:kern w:val="24"/>
          <w:sz w:val="36"/>
          <w:szCs w:val="36"/>
          <w:lang w:eastAsia="it-IT"/>
        </w:rPr>
        <w:t>”</w:t>
      </w:r>
      <w:r w:rsidR="008567F5" w:rsidRPr="004D40B9">
        <w:rPr>
          <w:rFonts w:ascii="Arial" w:eastAsia="MS PGothic" w:hAnsi="Arial" w:cs="Arial"/>
          <w:i/>
          <w:iCs/>
          <w:color w:val="009671"/>
          <w:kern w:val="24"/>
          <w:sz w:val="36"/>
          <w:szCs w:val="36"/>
          <w:lang w:eastAsia="it-IT"/>
        </w:rPr>
        <w:t>.</w:t>
      </w:r>
    </w:p>
    <w:p w14:paraId="5D9AC7C5" w14:textId="77777777" w:rsidR="008567F5" w:rsidRPr="00FB0A77" w:rsidRDefault="008567F5" w:rsidP="000352B0">
      <w:pPr>
        <w:spacing w:after="0" w:line="400" w:lineRule="exact"/>
        <w:rPr>
          <w:rFonts w:ascii="Arial" w:eastAsia="MS PGothic" w:hAnsi="Arial" w:cs="Arial"/>
          <w:i/>
          <w:iCs/>
          <w:color w:val="009671"/>
          <w:kern w:val="24"/>
          <w:sz w:val="16"/>
          <w:szCs w:val="16"/>
        </w:rPr>
      </w:pPr>
    </w:p>
    <w:p w14:paraId="15EEB952" w14:textId="74367C02" w:rsidR="007B7906" w:rsidRPr="002C0D3D" w:rsidRDefault="008F2622" w:rsidP="003817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767C56">
        <w:rPr>
          <w:rFonts w:ascii="Arial" w:hAnsi="Arial" w:cs="Arial"/>
          <w:sz w:val="24"/>
          <w:szCs w:val="24"/>
        </w:rPr>
        <w:t>ende</w:t>
      </w:r>
      <w:r>
        <w:rPr>
          <w:rFonts w:ascii="Arial" w:hAnsi="Arial" w:cs="Arial"/>
          <w:sz w:val="24"/>
          <w:szCs w:val="24"/>
        </w:rPr>
        <w:t>, 2</w:t>
      </w:r>
      <w:r w:rsidR="00767C5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novembre 202</w:t>
      </w:r>
      <w:r w:rsidR="0029367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14:paraId="02482FB9" w14:textId="77777777" w:rsidR="008567F5" w:rsidRPr="00FB0A77" w:rsidRDefault="008567F5" w:rsidP="003817C5">
      <w:pPr>
        <w:spacing w:after="0" w:line="240" w:lineRule="auto"/>
        <w:rPr>
          <w:rFonts w:ascii="Arial" w:hAnsi="Arial" w:cs="Arial"/>
          <w:b/>
          <w:bCs/>
          <w:color w:val="003594"/>
          <w:sz w:val="16"/>
          <w:szCs w:val="16"/>
        </w:rPr>
      </w:pPr>
    </w:p>
    <w:p w14:paraId="45683F21" w14:textId="51AC1787" w:rsidR="00767C56" w:rsidRDefault="00767C56" w:rsidP="003817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Rapporto Economico </w:t>
      </w:r>
      <w:r w:rsidR="0054660C">
        <w:rPr>
          <w:rFonts w:ascii="Arial" w:hAnsi="Arial" w:cs="Arial"/>
          <w:sz w:val="24"/>
          <w:szCs w:val="24"/>
        </w:rPr>
        <w:t>annuale della</w:t>
      </w:r>
      <w:r>
        <w:rPr>
          <w:rFonts w:ascii="Arial" w:hAnsi="Arial" w:cs="Arial"/>
          <w:sz w:val="24"/>
          <w:szCs w:val="24"/>
        </w:rPr>
        <w:t xml:space="preserve"> BCC </w:t>
      </w:r>
      <w:proofErr w:type="spellStart"/>
      <w:r>
        <w:rPr>
          <w:rFonts w:ascii="Arial" w:hAnsi="Arial" w:cs="Arial"/>
          <w:sz w:val="24"/>
          <w:szCs w:val="24"/>
        </w:rPr>
        <w:t>Mediocrati</w:t>
      </w:r>
      <w:proofErr w:type="spellEnd"/>
      <w:r>
        <w:rPr>
          <w:rFonts w:ascii="Arial" w:hAnsi="Arial" w:cs="Arial"/>
          <w:sz w:val="24"/>
          <w:szCs w:val="24"/>
        </w:rPr>
        <w:t xml:space="preserve"> è giunto al suo </w:t>
      </w:r>
      <w:proofErr w:type="gramStart"/>
      <w:r>
        <w:rPr>
          <w:rFonts w:ascii="Arial" w:hAnsi="Arial" w:cs="Arial"/>
          <w:sz w:val="24"/>
          <w:szCs w:val="24"/>
        </w:rPr>
        <w:t>1</w:t>
      </w:r>
      <w:r w:rsidR="0029367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°</w:t>
      </w:r>
      <w:proofErr w:type="gramEnd"/>
      <w:r>
        <w:rPr>
          <w:rFonts w:ascii="Arial" w:hAnsi="Arial" w:cs="Arial"/>
          <w:sz w:val="24"/>
          <w:szCs w:val="24"/>
        </w:rPr>
        <w:t xml:space="preserve"> anno. L’indice di fiducia, espresso dal robusto panel di imprenditori intervistati, </w:t>
      </w:r>
      <w:r w:rsidR="00293676" w:rsidRPr="00293676">
        <w:rPr>
          <w:rFonts w:ascii="Arial" w:hAnsi="Arial" w:cs="Arial"/>
          <w:sz w:val="24"/>
          <w:szCs w:val="24"/>
        </w:rPr>
        <w:t xml:space="preserve">segna, per la prima volta, </w:t>
      </w:r>
      <w:proofErr w:type="gramStart"/>
      <w:r w:rsidR="00293676" w:rsidRPr="00293676">
        <w:rPr>
          <w:rFonts w:ascii="Arial" w:hAnsi="Arial" w:cs="Arial"/>
          <w:sz w:val="24"/>
          <w:szCs w:val="24"/>
        </w:rPr>
        <w:t>un trend positivo</w:t>
      </w:r>
      <w:proofErr w:type="gramEnd"/>
      <w:r w:rsidR="00293676" w:rsidRPr="00293676">
        <w:rPr>
          <w:rFonts w:ascii="Arial" w:hAnsi="Arial" w:cs="Arial"/>
          <w:sz w:val="24"/>
          <w:szCs w:val="24"/>
        </w:rPr>
        <w:t xml:space="preserve"> di crescita salendo a 102,5 (+12 punti) consolidando il miglioramento del 2022.</w:t>
      </w:r>
    </w:p>
    <w:p w14:paraId="2E89E55B" w14:textId="56B84B39" w:rsidR="0054660C" w:rsidRDefault="0054660C" w:rsidP="003817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Rapporto 202</w:t>
      </w:r>
      <w:r w:rsidR="0029367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, il cui focus è incentrato </w:t>
      </w:r>
      <w:r w:rsidR="00293676">
        <w:rPr>
          <w:rFonts w:ascii="Arial" w:hAnsi="Arial" w:cs="Arial"/>
          <w:sz w:val="24"/>
          <w:szCs w:val="24"/>
        </w:rPr>
        <w:t>sull’Autonomia Differenziata</w:t>
      </w:r>
      <w:r>
        <w:rPr>
          <w:rFonts w:ascii="Arial" w:hAnsi="Arial" w:cs="Arial"/>
          <w:sz w:val="24"/>
          <w:szCs w:val="24"/>
        </w:rPr>
        <w:t>, è stato presentato nella sala De Cardona, di Rende</w:t>
      </w:r>
      <w:r w:rsidR="00293676">
        <w:rPr>
          <w:rFonts w:ascii="Arial" w:hAnsi="Arial" w:cs="Arial"/>
          <w:sz w:val="24"/>
          <w:szCs w:val="24"/>
        </w:rPr>
        <w:t>.</w:t>
      </w:r>
    </w:p>
    <w:p w14:paraId="4DB3E325" w14:textId="77777777" w:rsidR="00DC147F" w:rsidRDefault="00293676" w:rsidP="003817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Dopo i saluti del sottosegretario all’Interno, Wanda Ferro, e del direttore regionale della Banca d’Italia, Marcello </w:t>
      </w:r>
      <w:proofErr w:type="spellStart"/>
      <w:r>
        <w:rPr>
          <w:rFonts w:ascii="Arial" w:hAnsi="Arial" w:cs="Arial"/>
          <w:sz w:val="24"/>
          <w:szCs w:val="24"/>
        </w:rPr>
        <w:t>Malamisura</w:t>
      </w:r>
      <w:proofErr w:type="spellEnd"/>
      <w:r>
        <w:rPr>
          <w:rFonts w:ascii="Arial" w:hAnsi="Arial" w:cs="Arial"/>
          <w:sz w:val="24"/>
          <w:szCs w:val="24"/>
        </w:rPr>
        <w:t>, si sono succedute le relazioni di:</w:t>
      </w:r>
      <w:r w:rsidR="0034043A">
        <w:rPr>
          <w:rFonts w:ascii="Arial" w:hAnsi="Arial" w:cs="Arial"/>
          <w:sz w:val="24"/>
          <w:szCs w:val="24"/>
        </w:rPr>
        <w:t xml:space="preserve"> Raffaele Rio, presidente di </w:t>
      </w:r>
      <w:proofErr w:type="spellStart"/>
      <w:r w:rsidR="0034043A">
        <w:rPr>
          <w:rFonts w:ascii="Arial" w:hAnsi="Arial" w:cs="Arial"/>
          <w:sz w:val="24"/>
          <w:szCs w:val="24"/>
        </w:rPr>
        <w:t>Demoskopika</w:t>
      </w:r>
      <w:proofErr w:type="spellEnd"/>
      <w:r w:rsidR="0034043A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 xml:space="preserve">Rosario </w:t>
      </w:r>
      <w:proofErr w:type="spellStart"/>
      <w:r>
        <w:rPr>
          <w:rFonts w:ascii="Arial" w:hAnsi="Arial" w:cs="Arial"/>
          <w:sz w:val="24"/>
          <w:szCs w:val="24"/>
        </w:rPr>
        <w:t>Varì</w:t>
      </w:r>
      <w:proofErr w:type="spellEnd"/>
      <w:r w:rsidR="0034043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assessore regionale allo sviluppo economico; Emanuele Orsini, </w:t>
      </w:r>
      <w:proofErr w:type="gramStart"/>
      <w:r>
        <w:rPr>
          <w:rFonts w:ascii="Arial" w:hAnsi="Arial" w:cs="Arial"/>
          <w:sz w:val="24"/>
          <w:szCs w:val="24"/>
        </w:rPr>
        <w:t xml:space="preserve">vice </w:t>
      </w:r>
      <w:r w:rsidR="0034043A">
        <w:rPr>
          <w:rFonts w:ascii="Arial" w:hAnsi="Arial" w:cs="Arial"/>
          <w:sz w:val="24"/>
          <w:szCs w:val="24"/>
        </w:rPr>
        <w:t>presidente</w:t>
      </w:r>
      <w:proofErr w:type="gramEnd"/>
      <w:r w:rsidR="003404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nazionale</w:t>
      </w:r>
      <w:r w:rsidR="0034043A">
        <w:rPr>
          <w:rFonts w:ascii="Arial" w:hAnsi="Arial" w:cs="Arial"/>
          <w:sz w:val="24"/>
          <w:szCs w:val="24"/>
        </w:rPr>
        <w:t xml:space="preserve"> di </w:t>
      </w:r>
      <w:r>
        <w:rPr>
          <w:rFonts w:ascii="Arial" w:hAnsi="Arial" w:cs="Arial"/>
          <w:sz w:val="24"/>
          <w:szCs w:val="24"/>
        </w:rPr>
        <w:t>Conf</w:t>
      </w:r>
      <w:r w:rsidR="0034043A">
        <w:rPr>
          <w:rFonts w:ascii="Arial" w:hAnsi="Arial" w:cs="Arial"/>
          <w:sz w:val="24"/>
          <w:szCs w:val="24"/>
        </w:rPr>
        <w:t xml:space="preserve">industria; </w:t>
      </w:r>
      <w:r>
        <w:rPr>
          <w:rFonts w:ascii="Arial" w:hAnsi="Arial" w:cs="Arial"/>
          <w:sz w:val="24"/>
          <w:szCs w:val="24"/>
        </w:rPr>
        <w:t>Angelo Sposato</w:t>
      </w:r>
      <w:r w:rsidR="0034043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Segretario regionale CGIL</w:t>
      </w:r>
      <w:r w:rsidR="00DC147F">
        <w:rPr>
          <w:rFonts w:ascii="Arial" w:hAnsi="Arial" w:cs="Arial"/>
          <w:sz w:val="24"/>
          <w:szCs w:val="24"/>
        </w:rPr>
        <w:t>.</w:t>
      </w:r>
    </w:p>
    <w:p w14:paraId="6F8BC71B" w14:textId="5DEFA5AE" w:rsidR="0034043A" w:rsidRDefault="00293676" w:rsidP="003817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Augusto Dell’Erba, presidente di Federcasse, ha concluso i lavori che sono </w:t>
      </w:r>
      <w:proofErr w:type="gramStart"/>
      <w:r>
        <w:rPr>
          <w:rFonts w:ascii="Arial" w:hAnsi="Arial" w:cs="Arial"/>
          <w:sz w:val="24"/>
          <w:szCs w:val="24"/>
        </w:rPr>
        <w:t>stati  moderati</w:t>
      </w:r>
      <w:proofErr w:type="gramEnd"/>
      <w:r>
        <w:rPr>
          <w:rFonts w:ascii="Arial" w:hAnsi="Arial" w:cs="Arial"/>
          <w:sz w:val="24"/>
          <w:szCs w:val="24"/>
        </w:rPr>
        <w:t xml:space="preserve"> da Luigi Chiarello, giornalista del quotidiano economico Italia Oggi.</w:t>
      </w:r>
    </w:p>
    <w:p w14:paraId="5A649EA5" w14:textId="77777777" w:rsidR="00DC147F" w:rsidRDefault="00DC147F" w:rsidP="003817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D51A62" w14:textId="091DE19B" w:rsidR="0054660C" w:rsidRDefault="0054660C" w:rsidP="003817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 studio, realizzato dall’Istituto di ricerca </w:t>
      </w:r>
      <w:proofErr w:type="spellStart"/>
      <w:r>
        <w:rPr>
          <w:rFonts w:ascii="Arial" w:hAnsi="Arial" w:cs="Arial"/>
          <w:sz w:val="24"/>
          <w:szCs w:val="24"/>
        </w:rPr>
        <w:t>Demoskopika</w:t>
      </w:r>
      <w:proofErr w:type="spellEnd"/>
      <w:r>
        <w:rPr>
          <w:rFonts w:ascii="Arial" w:hAnsi="Arial" w:cs="Arial"/>
          <w:sz w:val="24"/>
          <w:szCs w:val="24"/>
        </w:rPr>
        <w:t xml:space="preserve">, evidenzia che </w:t>
      </w:r>
      <w:r w:rsidR="00293676" w:rsidRPr="00293676">
        <w:rPr>
          <w:rFonts w:ascii="Arial" w:hAnsi="Arial" w:cs="Arial"/>
          <w:sz w:val="24"/>
          <w:szCs w:val="24"/>
        </w:rPr>
        <w:t xml:space="preserve">il 42 per cento degli imprenditori calabresi </w:t>
      </w:r>
      <w:r w:rsidR="00293676">
        <w:rPr>
          <w:rFonts w:ascii="Arial" w:hAnsi="Arial" w:cs="Arial"/>
          <w:sz w:val="24"/>
          <w:szCs w:val="24"/>
        </w:rPr>
        <w:t>manifestano</w:t>
      </w:r>
      <w:r w:rsidR="00293676" w:rsidRPr="00293676">
        <w:rPr>
          <w:rFonts w:ascii="Arial" w:hAnsi="Arial" w:cs="Arial"/>
          <w:sz w:val="24"/>
          <w:szCs w:val="24"/>
        </w:rPr>
        <w:t xml:space="preserve"> scetticismo, convint</w:t>
      </w:r>
      <w:r w:rsidR="00293676">
        <w:rPr>
          <w:rFonts w:ascii="Arial" w:hAnsi="Arial" w:cs="Arial"/>
          <w:sz w:val="24"/>
          <w:szCs w:val="24"/>
        </w:rPr>
        <w:t>i</w:t>
      </w:r>
      <w:r w:rsidR="00293676" w:rsidRPr="00293676">
        <w:rPr>
          <w:rFonts w:ascii="Arial" w:hAnsi="Arial" w:cs="Arial"/>
          <w:sz w:val="24"/>
          <w:szCs w:val="24"/>
        </w:rPr>
        <w:t xml:space="preserve"> che il processo autonomistico porterà maggiori vantaggi al Nord con un taglio delle risorse nel Mezzogiorno. </w:t>
      </w:r>
      <w:r w:rsidR="00293676">
        <w:rPr>
          <w:rFonts w:ascii="Arial" w:hAnsi="Arial" w:cs="Arial"/>
          <w:sz w:val="24"/>
          <w:szCs w:val="24"/>
        </w:rPr>
        <w:t>La</w:t>
      </w:r>
      <w:r w:rsidR="00293676" w:rsidRPr="00293676">
        <w:rPr>
          <w:rFonts w:ascii="Arial" w:hAnsi="Arial" w:cs="Arial"/>
          <w:sz w:val="24"/>
          <w:szCs w:val="24"/>
        </w:rPr>
        <w:t xml:space="preserve"> Calabria</w:t>
      </w:r>
      <w:r w:rsidR="00293676">
        <w:rPr>
          <w:rFonts w:ascii="Arial" w:hAnsi="Arial" w:cs="Arial"/>
          <w:sz w:val="24"/>
          <w:szCs w:val="24"/>
        </w:rPr>
        <w:t>, con in testa Cosenza, ha</w:t>
      </w:r>
      <w:r w:rsidR="00293676" w:rsidRPr="00293676">
        <w:rPr>
          <w:rFonts w:ascii="Arial" w:hAnsi="Arial" w:cs="Arial"/>
          <w:sz w:val="24"/>
          <w:szCs w:val="24"/>
        </w:rPr>
        <w:t xml:space="preserve"> il primato italiano di chi ha manifestato l’interesse maggiore per la riforma, piazzandosi in cima alle ricerche su Google Trends. Tra i servizi pubblici essenziali, bocciati il sistema sanitario regionale, la rete stradale e il trasporto ferroviario. </w:t>
      </w:r>
    </w:p>
    <w:p w14:paraId="74124181" w14:textId="77777777" w:rsidR="003817C5" w:rsidRDefault="003817C5" w:rsidP="003817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040783" w14:textId="3553E3E9" w:rsidR="00293676" w:rsidRPr="00293676" w:rsidRDefault="00293676" w:rsidP="003817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676">
        <w:rPr>
          <w:rFonts w:ascii="Arial" w:hAnsi="Arial" w:cs="Arial"/>
          <w:b/>
          <w:bCs/>
          <w:sz w:val="24"/>
          <w:szCs w:val="24"/>
        </w:rPr>
        <w:t>Autonomia differenziata</w:t>
      </w:r>
      <w:r w:rsidRPr="003817C5">
        <w:rPr>
          <w:rFonts w:ascii="Arial" w:hAnsi="Arial" w:cs="Arial"/>
          <w:b/>
          <w:bCs/>
          <w:sz w:val="24"/>
          <w:szCs w:val="24"/>
        </w:rPr>
        <w:t>: 7 imprenditori su 10 la conoscono.</w:t>
      </w:r>
      <w:r w:rsidRPr="00293676">
        <w:rPr>
          <w:rFonts w:ascii="Arial" w:hAnsi="Arial" w:cs="Arial"/>
          <w:sz w:val="24"/>
          <w:szCs w:val="24"/>
        </w:rPr>
        <w:t xml:space="preserve"> Come emerge dall</w:t>
      </w:r>
      <w:r>
        <w:rPr>
          <w:rFonts w:ascii="Arial" w:hAnsi="Arial" w:cs="Arial"/>
          <w:sz w:val="24"/>
          <w:szCs w:val="24"/>
        </w:rPr>
        <w:t>’</w:t>
      </w:r>
      <w:r w:rsidRPr="00293676">
        <w:rPr>
          <w:rFonts w:ascii="Arial" w:hAnsi="Arial" w:cs="Arial"/>
          <w:sz w:val="24"/>
          <w:szCs w:val="24"/>
        </w:rPr>
        <w:t xml:space="preserve">indagine, più della metà del campione (55,7%) ha affermato di conoscere il tema, anche se non ha approfondito, mentre poco più di 1 su 10 (12,7%) ha cercato di informarsi per saperne di più. Sono invece circa 3 su 10 (31,6%) gli intervistati che non ne hanno mai sentito parlare.  </w:t>
      </w:r>
    </w:p>
    <w:p w14:paraId="57A0D6C6" w14:textId="77777777" w:rsidR="00293676" w:rsidRPr="00293676" w:rsidRDefault="00293676" w:rsidP="003817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5C4DE2" w14:textId="1EB944D1" w:rsidR="00293676" w:rsidRPr="00293676" w:rsidRDefault="00293676" w:rsidP="003817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676">
        <w:rPr>
          <w:rFonts w:ascii="Arial" w:hAnsi="Arial" w:cs="Arial"/>
          <w:b/>
          <w:bCs/>
          <w:sz w:val="24"/>
          <w:szCs w:val="24"/>
        </w:rPr>
        <w:t>Tendenze</w:t>
      </w:r>
      <w:r w:rsidR="003817C5">
        <w:rPr>
          <w:rFonts w:ascii="Arial" w:hAnsi="Arial" w:cs="Arial"/>
          <w:b/>
          <w:bCs/>
          <w:sz w:val="24"/>
          <w:szCs w:val="24"/>
        </w:rPr>
        <w:t>:</w:t>
      </w:r>
      <w:r w:rsidR="003817C5" w:rsidRPr="003817C5">
        <w:t xml:space="preserve"> </w:t>
      </w:r>
      <w:r w:rsidR="003817C5" w:rsidRPr="003817C5">
        <w:rPr>
          <w:rFonts w:ascii="Arial" w:hAnsi="Arial" w:cs="Arial"/>
          <w:b/>
          <w:bCs/>
          <w:sz w:val="24"/>
          <w:szCs w:val="24"/>
        </w:rPr>
        <w:t xml:space="preserve">Calabria in testa per interesse. </w:t>
      </w:r>
      <w:r w:rsidRPr="00293676">
        <w:rPr>
          <w:rFonts w:ascii="Arial" w:hAnsi="Arial" w:cs="Arial"/>
          <w:sz w:val="24"/>
          <w:szCs w:val="24"/>
        </w:rPr>
        <w:t>Analizzando Google Trends, emerge che, dal 2017 ad oggi, il termine</w:t>
      </w:r>
      <w:r w:rsidR="003817C5">
        <w:rPr>
          <w:rFonts w:ascii="Arial" w:hAnsi="Arial" w:cs="Arial"/>
          <w:sz w:val="24"/>
          <w:szCs w:val="24"/>
        </w:rPr>
        <w:t xml:space="preserve"> “Autonomia differenziata”</w:t>
      </w:r>
      <w:r w:rsidRPr="00293676">
        <w:rPr>
          <w:rFonts w:ascii="Arial" w:hAnsi="Arial" w:cs="Arial"/>
          <w:sz w:val="24"/>
          <w:szCs w:val="24"/>
        </w:rPr>
        <w:t xml:space="preserve"> è stato cercato soprattutto a febbraio 2023, ossia in corrispondenza dell’approvazione del disegno di Legge </w:t>
      </w:r>
      <w:r>
        <w:rPr>
          <w:rFonts w:ascii="Arial" w:hAnsi="Arial" w:cs="Arial"/>
          <w:sz w:val="24"/>
          <w:szCs w:val="24"/>
        </w:rPr>
        <w:t>(c.d. riforma</w:t>
      </w:r>
      <w:r w:rsidRPr="00293676">
        <w:rPr>
          <w:rFonts w:ascii="Arial" w:hAnsi="Arial" w:cs="Arial"/>
          <w:sz w:val="24"/>
          <w:szCs w:val="24"/>
        </w:rPr>
        <w:t xml:space="preserve"> Calderoli</w:t>
      </w:r>
      <w:r>
        <w:rPr>
          <w:rFonts w:ascii="Arial" w:hAnsi="Arial" w:cs="Arial"/>
          <w:sz w:val="24"/>
          <w:szCs w:val="24"/>
        </w:rPr>
        <w:t>)</w:t>
      </w:r>
      <w:r w:rsidRPr="00293676">
        <w:rPr>
          <w:rFonts w:ascii="Arial" w:hAnsi="Arial" w:cs="Arial"/>
          <w:sz w:val="24"/>
          <w:szCs w:val="24"/>
        </w:rPr>
        <w:t xml:space="preserve"> </w:t>
      </w:r>
      <w:r w:rsidRPr="00293676">
        <w:rPr>
          <w:rFonts w:ascii="Arial" w:hAnsi="Arial" w:cs="Arial"/>
          <w:sz w:val="24"/>
          <w:szCs w:val="24"/>
        </w:rPr>
        <w:t xml:space="preserve">da parte del </w:t>
      </w:r>
      <w:r w:rsidR="003817C5">
        <w:rPr>
          <w:rFonts w:ascii="Arial" w:hAnsi="Arial" w:cs="Arial"/>
          <w:sz w:val="24"/>
          <w:szCs w:val="24"/>
        </w:rPr>
        <w:t>G</w:t>
      </w:r>
      <w:r w:rsidRPr="00293676">
        <w:rPr>
          <w:rFonts w:ascii="Arial" w:hAnsi="Arial" w:cs="Arial"/>
          <w:sz w:val="24"/>
          <w:szCs w:val="24"/>
        </w:rPr>
        <w:t>overno, che coincide anche con il maggiore interesse da parte dei media. Il termine è stato cercato maggiormente nelle Regioni del Sud Italia con in testa la Calabria, (100), seguita da Basilicata (85), Molise (70), Puglia (54) e Campania (49). Mentre la città italiana in cui si è manifestato un maggiore interesse di ricerca per questo tema è Cosenza (100), seguita da Avellino (49), Potenza (49) e Reggio Calabria (39).</w:t>
      </w:r>
    </w:p>
    <w:p w14:paraId="0024BCC9" w14:textId="77777777" w:rsidR="00293676" w:rsidRPr="00293676" w:rsidRDefault="00293676" w:rsidP="003817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6B0ACB" w14:textId="5A0C09B7" w:rsidR="00293676" w:rsidRPr="00293676" w:rsidRDefault="00293676" w:rsidP="003817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17C5">
        <w:rPr>
          <w:rFonts w:ascii="Arial" w:hAnsi="Arial" w:cs="Arial"/>
          <w:b/>
          <w:bCs/>
          <w:sz w:val="24"/>
          <w:szCs w:val="24"/>
        </w:rPr>
        <w:t>Dicotomie</w:t>
      </w:r>
      <w:r w:rsidR="003817C5">
        <w:rPr>
          <w:rFonts w:ascii="Arial" w:hAnsi="Arial" w:cs="Arial"/>
          <w:b/>
          <w:bCs/>
          <w:sz w:val="24"/>
          <w:szCs w:val="24"/>
        </w:rPr>
        <w:t>:</w:t>
      </w:r>
      <w:r w:rsidR="003817C5" w:rsidRPr="003817C5">
        <w:t xml:space="preserve"> </w:t>
      </w:r>
      <w:r w:rsidR="003817C5" w:rsidRPr="003817C5">
        <w:rPr>
          <w:rFonts w:ascii="Arial" w:hAnsi="Arial" w:cs="Arial"/>
          <w:b/>
          <w:bCs/>
          <w:sz w:val="24"/>
          <w:szCs w:val="24"/>
        </w:rPr>
        <w:t>prevale l’orientamento dei “contrari”.</w:t>
      </w:r>
      <w:r w:rsidRPr="00293676">
        <w:rPr>
          <w:rFonts w:ascii="Arial" w:hAnsi="Arial" w:cs="Arial"/>
          <w:sz w:val="24"/>
          <w:szCs w:val="24"/>
        </w:rPr>
        <w:t xml:space="preserve"> Per mettere meglio a fuoco i termini della questione </w:t>
      </w:r>
      <w:r w:rsidR="003817C5">
        <w:rPr>
          <w:rFonts w:ascii="Arial" w:hAnsi="Arial" w:cs="Arial"/>
          <w:sz w:val="24"/>
          <w:szCs w:val="24"/>
        </w:rPr>
        <w:t>è stato</w:t>
      </w:r>
      <w:r w:rsidRPr="00293676">
        <w:rPr>
          <w:rFonts w:ascii="Arial" w:hAnsi="Arial" w:cs="Arial"/>
          <w:sz w:val="24"/>
          <w:szCs w:val="24"/>
        </w:rPr>
        <w:t xml:space="preserve"> chiesto agli imprenditori cosentini cosa pensano del fatto che le regioni possano chiedere una certa autonomia in alcune materie e trattenere per esse maggiori quote dalle tasse e dalle entrate fiscali versate dai cittadini, che non sarebbero più distribuite su base nazionale. Poco più di 4 su 10, il 42%, sono contrari all’autonomia differenziata, perch</w:t>
      </w:r>
      <w:r w:rsidR="003817C5">
        <w:rPr>
          <w:rFonts w:ascii="Arial" w:hAnsi="Arial" w:cs="Arial"/>
          <w:sz w:val="24"/>
          <w:szCs w:val="24"/>
        </w:rPr>
        <w:t>é</w:t>
      </w:r>
      <w:r w:rsidRPr="00293676">
        <w:rPr>
          <w:rFonts w:ascii="Arial" w:hAnsi="Arial" w:cs="Arial"/>
          <w:sz w:val="24"/>
          <w:szCs w:val="24"/>
        </w:rPr>
        <w:t xml:space="preserve"> “porterà più vantaggi al Nord e più svantaggi al Sud, in quanto ci saranno meno aiuti per le regioni disagiate che avranno meno risorse per i servizi pubblici”. Più contenuta la schiera dei favorevoli, il 25,9%, convinta, invece, che la devoluzione “porterà vantaggi a tutta l’Italia, e le regioni diventerebbero maggiormente responsabili nella gestione delle proprie risorse e dei servizi pubblici”, mentre un terzo, il 32,1%, ha espresso un certo grado di neutralità dichiarandosi “né favorevole, né contrario”. </w:t>
      </w:r>
    </w:p>
    <w:p w14:paraId="5189C1D2" w14:textId="77777777" w:rsidR="00293676" w:rsidRPr="00293676" w:rsidRDefault="00293676" w:rsidP="003817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DD86BB" w14:textId="75D9C20C" w:rsidR="00293676" w:rsidRPr="00293676" w:rsidRDefault="00293676" w:rsidP="003817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17C5">
        <w:rPr>
          <w:rFonts w:ascii="Arial" w:hAnsi="Arial" w:cs="Arial"/>
          <w:b/>
          <w:bCs/>
          <w:sz w:val="24"/>
          <w:szCs w:val="24"/>
        </w:rPr>
        <w:t>Le ragioni del “no”:</w:t>
      </w:r>
      <w:r w:rsidRPr="00293676">
        <w:rPr>
          <w:rFonts w:ascii="Arial" w:hAnsi="Arial" w:cs="Arial"/>
          <w:sz w:val="24"/>
          <w:szCs w:val="24"/>
        </w:rPr>
        <w:t xml:space="preserve"> </w:t>
      </w:r>
      <w:r w:rsidRPr="003817C5">
        <w:rPr>
          <w:rFonts w:ascii="Arial" w:hAnsi="Arial" w:cs="Arial"/>
          <w:b/>
          <w:bCs/>
          <w:sz w:val="24"/>
          <w:szCs w:val="24"/>
        </w:rPr>
        <w:t>potrebbe crescere il divario Nord-Sud per quasi il 60% del campione.</w:t>
      </w:r>
      <w:r w:rsidRPr="00293676">
        <w:rPr>
          <w:rFonts w:ascii="Arial" w:hAnsi="Arial" w:cs="Arial"/>
          <w:sz w:val="24"/>
          <w:szCs w:val="24"/>
        </w:rPr>
        <w:t xml:space="preserve"> Analizzando le risposte degli imprenditori cosentini, fra </w:t>
      </w:r>
      <w:r w:rsidR="003817C5">
        <w:rPr>
          <w:rFonts w:ascii="Arial" w:hAnsi="Arial" w:cs="Arial"/>
          <w:sz w:val="24"/>
          <w:szCs w:val="24"/>
        </w:rPr>
        <w:t xml:space="preserve">i </w:t>
      </w:r>
      <w:r w:rsidRPr="00293676">
        <w:rPr>
          <w:rFonts w:ascii="Arial" w:hAnsi="Arial" w:cs="Arial"/>
          <w:sz w:val="24"/>
          <w:szCs w:val="24"/>
        </w:rPr>
        <w:t xml:space="preserve">contrari, la maggior parte (55,6%) pensa che l’autonomia differenziata contribuirà ad aumentare il divario economico fra regioni ricche e regioni povere. Un’altra quota consistente di contrari (26%) è convinta che non funzionerà perché, ad oggi, una forma di autonomia regionale come la sanità non ha portato alcun vantaggio. Per il 21,9% dei contrari, invece, si tratta di un tema politico e ideologico portato avanti da quelle regioni del Nord che vorrebbero la secessione, ed in cui si è radicata l’idea che le regioni del Sud sprecano le risorse. E fra i contrari c’è anche chi sostiene l’idea che l’autonomia differenziata possa contribuire a ridurre le prestazioni pubbliche soprattutto nelle regioni più povere (19,5%). </w:t>
      </w:r>
    </w:p>
    <w:p w14:paraId="49868DEC" w14:textId="46CFD4E8" w:rsidR="00293676" w:rsidRPr="00293676" w:rsidRDefault="003817C5" w:rsidP="003817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</w:t>
      </w:r>
      <w:r w:rsidR="00293676" w:rsidRPr="00293676">
        <w:rPr>
          <w:rFonts w:ascii="Arial" w:hAnsi="Arial" w:cs="Arial"/>
          <w:sz w:val="24"/>
          <w:szCs w:val="24"/>
        </w:rPr>
        <w:t>n sono trascurabili le percentuali di quanti nutrono preoccupazioni per una possibile diminuzione della coesione e unione nazionale facendo venire meno i principi di solidarietà nazionale (12,4%), e di coloro che temono si verifichi un inasprimento della pressione fiscale per i cittadini e per le imprese (10,1%). Analizzando i dati per settore economico, emergono differenze fra gli imprenditori che operano nei settori dei servizi, delle costruzioni e dell’industria e artigianato.</w:t>
      </w:r>
    </w:p>
    <w:p w14:paraId="49FF7658" w14:textId="77777777" w:rsidR="00293676" w:rsidRPr="00293676" w:rsidRDefault="00293676" w:rsidP="003817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6BDF1D" w14:textId="6A139270" w:rsidR="00293676" w:rsidRPr="00293676" w:rsidRDefault="00293676" w:rsidP="003817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17C5">
        <w:rPr>
          <w:rFonts w:ascii="Arial" w:hAnsi="Arial" w:cs="Arial"/>
          <w:b/>
          <w:bCs/>
          <w:sz w:val="24"/>
          <w:szCs w:val="24"/>
        </w:rPr>
        <w:t>Le ragioni del “sì”: autonomia sarà prova di responsabilità.</w:t>
      </w:r>
      <w:r w:rsidRPr="00293676">
        <w:rPr>
          <w:rFonts w:ascii="Arial" w:hAnsi="Arial" w:cs="Arial"/>
          <w:sz w:val="24"/>
          <w:szCs w:val="24"/>
        </w:rPr>
        <w:t xml:space="preserve"> </w:t>
      </w:r>
      <w:r w:rsidRPr="003817C5">
        <w:rPr>
          <w:rFonts w:ascii="Arial" w:hAnsi="Arial" w:cs="Arial"/>
          <w:b/>
          <w:bCs/>
          <w:sz w:val="24"/>
          <w:szCs w:val="24"/>
        </w:rPr>
        <w:t xml:space="preserve">A pensarlo 6 imprenditori su 10. </w:t>
      </w:r>
      <w:r w:rsidR="003817C5">
        <w:rPr>
          <w:rFonts w:ascii="Arial" w:hAnsi="Arial" w:cs="Arial"/>
          <w:sz w:val="24"/>
          <w:szCs w:val="24"/>
        </w:rPr>
        <w:t>Tra</w:t>
      </w:r>
      <w:r w:rsidRPr="00293676">
        <w:rPr>
          <w:rFonts w:ascii="Arial" w:hAnsi="Arial" w:cs="Arial"/>
          <w:sz w:val="24"/>
          <w:szCs w:val="24"/>
        </w:rPr>
        <w:t xml:space="preserve"> chi ha dichiarato di essere favorevole all’autonomia differenziata, la maggior parte (61,5%) pensa che</w:t>
      </w:r>
      <w:r w:rsidR="003817C5">
        <w:rPr>
          <w:rFonts w:ascii="Arial" w:hAnsi="Arial" w:cs="Arial"/>
          <w:sz w:val="24"/>
          <w:szCs w:val="24"/>
        </w:rPr>
        <w:t>,</w:t>
      </w:r>
      <w:r w:rsidRPr="00293676">
        <w:rPr>
          <w:rFonts w:ascii="Arial" w:hAnsi="Arial" w:cs="Arial"/>
          <w:sz w:val="24"/>
          <w:szCs w:val="24"/>
        </w:rPr>
        <w:t xml:space="preserve"> grazie ad essa</w:t>
      </w:r>
      <w:r w:rsidR="003817C5">
        <w:rPr>
          <w:rFonts w:ascii="Arial" w:hAnsi="Arial" w:cs="Arial"/>
          <w:sz w:val="24"/>
          <w:szCs w:val="24"/>
        </w:rPr>
        <w:t>,</w:t>
      </w:r>
      <w:r w:rsidRPr="00293676">
        <w:rPr>
          <w:rFonts w:ascii="Arial" w:hAnsi="Arial" w:cs="Arial"/>
          <w:sz w:val="24"/>
          <w:szCs w:val="24"/>
        </w:rPr>
        <w:t xml:space="preserve"> aumenterà la responsabilità da parte delle regioni di spendere meglio le risorse a disposizione. Gli intervistati favorevoli sembrano convinti che una maggiore autonomia, e di conseguenza un maggiore potere alle comunità locali nella gestione diretta del territorio, possa tradursi in un migliore impegno da parte degli </w:t>
      </w:r>
      <w:proofErr w:type="gramStart"/>
      <w:r w:rsidRPr="00293676">
        <w:rPr>
          <w:rFonts w:ascii="Arial" w:hAnsi="Arial" w:cs="Arial"/>
          <w:sz w:val="24"/>
          <w:szCs w:val="24"/>
        </w:rPr>
        <w:t>amministratori</w:t>
      </w:r>
      <w:proofErr w:type="gramEnd"/>
      <w:r w:rsidRPr="00293676">
        <w:rPr>
          <w:rFonts w:ascii="Arial" w:hAnsi="Arial" w:cs="Arial"/>
          <w:sz w:val="24"/>
          <w:szCs w:val="24"/>
        </w:rPr>
        <w:t xml:space="preserve"> i quali dovranno rendere conto del proprio agire in maniera diretta ai cittadini amministrati. A questi si possono aggiungere gli imprenditori favorevoli (26%), </w:t>
      </w:r>
      <w:r w:rsidR="00F85E8B">
        <w:rPr>
          <w:rFonts w:ascii="Arial" w:hAnsi="Arial" w:cs="Arial"/>
          <w:sz w:val="24"/>
          <w:szCs w:val="24"/>
        </w:rPr>
        <w:t xml:space="preserve">per </w:t>
      </w:r>
      <w:r w:rsidRPr="00293676">
        <w:rPr>
          <w:rFonts w:ascii="Arial" w:hAnsi="Arial" w:cs="Arial"/>
          <w:sz w:val="24"/>
          <w:szCs w:val="24"/>
        </w:rPr>
        <w:t>i quali</w:t>
      </w:r>
      <w:r w:rsidR="00F85E8B">
        <w:rPr>
          <w:rFonts w:ascii="Arial" w:hAnsi="Arial" w:cs="Arial"/>
          <w:sz w:val="24"/>
          <w:szCs w:val="24"/>
        </w:rPr>
        <w:t xml:space="preserve"> </w:t>
      </w:r>
      <w:r w:rsidRPr="00293676">
        <w:rPr>
          <w:rFonts w:ascii="Arial" w:hAnsi="Arial" w:cs="Arial"/>
          <w:sz w:val="24"/>
          <w:szCs w:val="24"/>
        </w:rPr>
        <w:t xml:space="preserve">il regionalismo differenziato </w:t>
      </w:r>
      <w:r w:rsidR="00F85E8B">
        <w:rPr>
          <w:rFonts w:ascii="Arial" w:hAnsi="Arial" w:cs="Arial"/>
          <w:sz w:val="24"/>
          <w:szCs w:val="24"/>
        </w:rPr>
        <w:t>potrà</w:t>
      </w:r>
      <w:r w:rsidRPr="00293676">
        <w:rPr>
          <w:rFonts w:ascii="Arial" w:hAnsi="Arial" w:cs="Arial"/>
          <w:sz w:val="24"/>
          <w:szCs w:val="24"/>
        </w:rPr>
        <w:t xml:space="preserve"> determinare per le regioni una diminuzione degli sprechi.</w:t>
      </w:r>
    </w:p>
    <w:p w14:paraId="0D5B50E0" w14:textId="77777777" w:rsidR="00293676" w:rsidRPr="00293676" w:rsidRDefault="00293676" w:rsidP="003817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3A6617" w14:textId="77777777" w:rsidR="00293676" w:rsidRPr="00293676" w:rsidRDefault="00293676" w:rsidP="003817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5E8B">
        <w:rPr>
          <w:rFonts w:ascii="Arial" w:hAnsi="Arial" w:cs="Arial"/>
          <w:b/>
          <w:bCs/>
          <w:sz w:val="24"/>
          <w:szCs w:val="24"/>
        </w:rPr>
        <w:t>“Effetti riformistici”: la metà della business community si dichiara pessimista.</w:t>
      </w:r>
      <w:r w:rsidRPr="00293676">
        <w:rPr>
          <w:rFonts w:ascii="Arial" w:hAnsi="Arial" w:cs="Arial"/>
          <w:sz w:val="24"/>
          <w:szCs w:val="24"/>
        </w:rPr>
        <w:t xml:space="preserve"> Ma quale sarà l’impatto dell’autonomia differenziata sul sistema economico calabrese? Circa la metà degli imprenditori, il 49%, si definisce pessimista; di questi il 12,7% crede che avrà un impatto molto negativo, e il 36,3% negativo. Ciò testimonia la preoccupazione fra gli intervistati che il “</w:t>
      </w:r>
      <w:proofErr w:type="spellStart"/>
      <w:r w:rsidRPr="00293676">
        <w:rPr>
          <w:rFonts w:ascii="Arial" w:hAnsi="Arial" w:cs="Arial"/>
          <w:sz w:val="24"/>
          <w:szCs w:val="24"/>
        </w:rPr>
        <w:t>ddl</w:t>
      </w:r>
      <w:proofErr w:type="spellEnd"/>
      <w:r w:rsidRPr="00293676">
        <w:rPr>
          <w:rFonts w:ascii="Arial" w:hAnsi="Arial" w:cs="Arial"/>
          <w:sz w:val="24"/>
          <w:szCs w:val="24"/>
        </w:rPr>
        <w:t xml:space="preserve"> Calderoli” possa contribuire a limitare ulteriormente la competitività delle imprese regionali. Più contenuta, infatti, è la quota percentuale degli ottimisti (21,6%). Di questi il 18,4% pensa che l’autonomia differenziata avrà un impatto positivo, mentre il 3,2% molto positivo. Una percentuale più o meno simile (23,4%) è rappresentata dai neutrali, ossia da chi pensa che non avrà nessun impatto, né positivo, né negativo.</w:t>
      </w:r>
    </w:p>
    <w:p w14:paraId="726B231F" w14:textId="77777777" w:rsidR="00293676" w:rsidRPr="00293676" w:rsidRDefault="00293676" w:rsidP="003817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2F40E5" w14:textId="77777777" w:rsidR="00293676" w:rsidRPr="00293676" w:rsidRDefault="00293676" w:rsidP="003817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147F">
        <w:rPr>
          <w:rFonts w:ascii="Arial" w:hAnsi="Arial" w:cs="Arial"/>
          <w:b/>
          <w:bCs/>
          <w:sz w:val="24"/>
          <w:szCs w:val="24"/>
        </w:rPr>
        <w:t>Deleghe: allo Stato rapporti internazionali, istruzione, ricerca, energia e sicurezza del lavoro.</w:t>
      </w:r>
      <w:r w:rsidRPr="00293676">
        <w:rPr>
          <w:rFonts w:ascii="Arial" w:hAnsi="Arial" w:cs="Arial"/>
          <w:sz w:val="24"/>
          <w:szCs w:val="24"/>
        </w:rPr>
        <w:t xml:space="preserve"> Le regioni possono chiedere che siano trasferite le funzioni su una o più delle 23 materie che al momento sono esercitate dallo Stato: le 3 di competenza esclusiva dello Stato (giustizia di pace, istruzione e tutela dell'ambiente e dei beni culturali) e le 20 concorrenti (il coordinamento della finanza pubblica e tributario, ecc.). Circa 2 imprenditori su 10 sarebbero disposti ad aumentare il potere delle regioni su materie quali ad esempio, la gestione della salute (20,1%) o la gestione dei porti e degli aeroporti (23,1%), una percentuale che aumenta a 3 su 10 (32,3%) solo per l’ambiente e la valorizzazione culturale. Mentre il 63,2% degli intervistati lascerebbe maggiormente allo Stato la competenza o la gestione dei rapporti internazionali con l’estero e più della metà del campione materie come l’istruzione scolastica (58,5%) la ricerca scientifica e tecnologica (55,5%) o materie che sono maggiormente collegate alle performance delle imprese come, ad esempio, la produzione, il trasporto e la distribuzione nazionale dell’energia (53,5%) e la tutela e la sicurezza del lavoro (51%).</w:t>
      </w:r>
    </w:p>
    <w:p w14:paraId="16D95980" w14:textId="77777777" w:rsidR="00293676" w:rsidRPr="00293676" w:rsidRDefault="00293676" w:rsidP="003817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4B41D8" w14:textId="1274FD21" w:rsidR="00293676" w:rsidRPr="00293676" w:rsidRDefault="00293676" w:rsidP="003817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147F">
        <w:rPr>
          <w:rFonts w:ascii="Arial" w:hAnsi="Arial" w:cs="Arial"/>
          <w:b/>
          <w:bCs/>
          <w:sz w:val="24"/>
          <w:szCs w:val="24"/>
        </w:rPr>
        <w:t>Servizi pubblici essenziali: la classifica dell’inefficienza.</w:t>
      </w:r>
      <w:r w:rsidRPr="00293676">
        <w:rPr>
          <w:rFonts w:ascii="Arial" w:hAnsi="Arial" w:cs="Arial"/>
          <w:sz w:val="24"/>
          <w:szCs w:val="24"/>
        </w:rPr>
        <w:t xml:space="preserve">  I LEP devono essere determinati e garantiti, su tutto il territorio nazionale, con l’obiettivo di tutelare l’unità economica e la coesione sociale della Repubblica, rimuovere gli squilibri economici e sociali e fornire indicazioni programmatiche cui le regioni devono attenersi, nella redazione dei loro bilanci e nello svolgimento delle funzioni loro attribuite. Dunque</w:t>
      </w:r>
      <w:r w:rsidR="00DC147F">
        <w:rPr>
          <w:rFonts w:ascii="Arial" w:hAnsi="Arial" w:cs="Arial"/>
          <w:sz w:val="24"/>
          <w:szCs w:val="24"/>
        </w:rPr>
        <w:t>,</w:t>
      </w:r>
      <w:r w:rsidRPr="00293676">
        <w:rPr>
          <w:rFonts w:ascii="Arial" w:hAnsi="Arial" w:cs="Arial"/>
          <w:sz w:val="24"/>
          <w:szCs w:val="24"/>
        </w:rPr>
        <w:t xml:space="preserve"> alla definizione dei LEP è legata l’efficienza dei servizi pubblici e all’efficienza del settore pubblico sono inevitabilmente legate le performance delle imprese: maggiore sarà l’efficienza del settore pubblico, maggiore sarà la produttività delle imprese.</w:t>
      </w:r>
    </w:p>
    <w:p w14:paraId="0129B3BE" w14:textId="77777777" w:rsidR="00293676" w:rsidRPr="00293676" w:rsidRDefault="00293676" w:rsidP="003817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676">
        <w:rPr>
          <w:rFonts w:ascii="Arial" w:hAnsi="Arial" w:cs="Arial"/>
          <w:sz w:val="24"/>
          <w:szCs w:val="24"/>
        </w:rPr>
        <w:t xml:space="preserve">Certo è che il parere degli imprenditori intervistati riguardo ad alcuni servizi pubblici essenziali è pessimo, soprattutto per la rete ospedaliera e il sistema sanitario, ritenuti per nulla/poco efficienti da quasi l’intero campione (96,8%), ma anche per la rete stradale, ritenuta per nulla/poco efficiente da 9 intervistati su 10 (90,8%). Altrettanto negativo è il giudizio sulla rete autostradale e sul trasporto ferroviario, ritenuti per nulla/poco efficienti rispettivamente dall’81,8% e dall’81,3%. </w:t>
      </w:r>
    </w:p>
    <w:p w14:paraId="37E1434F" w14:textId="77777777" w:rsidR="00293676" w:rsidRPr="00293676" w:rsidRDefault="00293676" w:rsidP="003817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E00BE2" w14:textId="77777777" w:rsidR="00293676" w:rsidRPr="00293676" w:rsidRDefault="00293676" w:rsidP="003817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147F">
        <w:rPr>
          <w:rFonts w:ascii="Arial" w:hAnsi="Arial" w:cs="Arial"/>
          <w:b/>
          <w:bCs/>
          <w:sz w:val="24"/>
          <w:szCs w:val="24"/>
        </w:rPr>
        <w:t>Servizi pubblici locali: bene internet, acqua e rifiuti. Bocciato il trasporto pubblico locale.</w:t>
      </w:r>
      <w:r w:rsidRPr="00293676">
        <w:rPr>
          <w:rFonts w:ascii="Arial" w:hAnsi="Arial" w:cs="Arial"/>
          <w:sz w:val="24"/>
          <w:szCs w:val="24"/>
        </w:rPr>
        <w:t xml:space="preserve"> Diverso è il discorso per i servizi pubblici locali e le utilities che la letteratura scientifica definisce come fondamentali per la qualità della vita dei cittadini e per l’assetto produttivo delle imprese. A differenza di quelli citati in precedenza, altri servizi pubblici essenziali, tra cui le utilities locali, sono ritenuti efficienti da più della metà del campione. È il caso della rete Internet, valutata molto/abbastanza efficiente dal 64,7% del campione, analogamente all’energia elettrica e al gas ritenuti efficienti rispettivamente dal 61,4% e dal 56,5% degli intervistati. Quasi la metà degli imprenditori ritiene molto/abbastanza efficiente anche il servizio di smaltimento dei rifiuti (48,8%) e il servizio idrico (47,0%), mentre più bassa è la percentuale di intervistati (32,8%) che ritengono molto/abbastanza efficiente il trasporto pubblico locale.</w:t>
      </w:r>
    </w:p>
    <w:p w14:paraId="4934CEC4" w14:textId="77777777" w:rsidR="00293676" w:rsidRPr="00293676" w:rsidRDefault="00293676" w:rsidP="003817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ED241A" w14:textId="19D55066" w:rsidR="00293676" w:rsidRPr="00293676" w:rsidRDefault="00293676" w:rsidP="003817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147F">
        <w:rPr>
          <w:rFonts w:ascii="Arial" w:hAnsi="Arial" w:cs="Arial"/>
          <w:b/>
          <w:bCs/>
          <w:sz w:val="24"/>
          <w:szCs w:val="24"/>
        </w:rPr>
        <w:t>Clima di fiducia: prevale l’ottimismo</w:t>
      </w:r>
      <w:r w:rsidR="00DC147F">
        <w:rPr>
          <w:rFonts w:ascii="Arial" w:hAnsi="Arial" w:cs="Arial"/>
          <w:b/>
          <w:bCs/>
          <w:sz w:val="24"/>
          <w:szCs w:val="24"/>
        </w:rPr>
        <w:t xml:space="preserve">. </w:t>
      </w:r>
      <w:r w:rsidR="00DC147F">
        <w:rPr>
          <w:rFonts w:ascii="Arial" w:hAnsi="Arial" w:cs="Arial"/>
          <w:sz w:val="24"/>
          <w:szCs w:val="24"/>
        </w:rPr>
        <w:t xml:space="preserve">Per </w:t>
      </w:r>
      <w:r w:rsidRPr="00293676">
        <w:rPr>
          <w:rFonts w:ascii="Arial" w:hAnsi="Arial" w:cs="Arial"/>
          <w:sz w:val="24"/>
          <w:szCs w:val="24"/>
        </w:rPr>
        <w:t xml:space="preserve">il 2023 aumenta al 27,7% (dal 13,5% del 2022) la quota degli operatori economici che prevedono una ripresa (somma della modalità “positivo” e “molto positivo”) mentre resta più stabile salendo di poco al 25,2% (23% nel 2022) la quota degli imprenditori “pessimisti” che prevedono una recessione dell’economia (somma dei giudizi “negativo” e “molto negativo”). </w:t>
      </w:r>
    </w:p>
    <w:p w14:paraId="698EA653" w14:textId="7E3B364A" w:rsidR="00293676" w:rsidRPr="00293676" w:rsidRDefault="00293676" w:rsidP="003817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676">
        <w:rPr>
          <w:rFonts w:ascii="Arial" w:hAnsi="Arial" w:cs="Arial"/>
          <w:sz w:val="24"/>
          <w:szCs w:val="24"/>
        </w:rPr>
        <w:t xml:space="preserve">Nel 2023 l’indice medio di fiducia generale, per la prima volta segna </w:t>
      </w:r>
      <w:proofErr w:type="gramStart"/>
      <w:r w:rsidRPr="00293676">
        <w:rPr>
          <w:rFonts w:ascii="Arial" w:hAnsi="Arial" w:cs="Arial"/>
          <w:sz w:val="24"/>
          <w:szCs w:val="24"/>
        </w:rPr>
        <w:t>un trend positivo</w:t>
      </w:r>
      <w:proofErr w:type="gramEnd"/>
      <w:r w:rsidRPr="00293676">
        <w:rPr>
          <w:rFonts w:ascii="Arial" w:hAnsi="Arial" w:cs="Arial"/>
          <w:sz w:val="24"/>
          <w:szCs w:val="24"/>
        </w:rPr>
        <w:t xml:space="preserve"> di crescita salendo a 102,5 (+12 punti) consolidando il miglioramento del 2022 e del 2021</w:t>
      </w:r>
      <w:r w:rsidR="00DC147F">
        <w:rPr>
          <w:rFonts w:ascii="Arial" w:hAnsi="Arial" w:cs="Arial"/>
          <w:sz w:val="24"/>
          <w:szCs w:val="24"/>
        </w:rPr>
        <w:t>.</w:t>
      </w:r>
    </w:p>
    <w:p w14:paraId="208FB6CA" w14:textId="77777777" w:rsidR="00293676" w:rsidRPr="00293676" w:rsidRDefault="00293676" w:rsidP="003817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676">
        <w:rPr>
          <w:rFonts w:ascii="Arial" w:hAnsi="Arial" w:cs="Arial"/>
          <w:sz w:val="24"/>
          <w:szCs w:val="24"/>
        </w:rPr>
        <w:t xml:space="preserve">Entrando nel dettaglio dei singoli indicatori, solo alcuni consolidano la ripresa dell’anno precedente, altri restano quasi stabili e altri ancora in leggero calo. In area positiva si collocano fatturato (+15,6 punti), investimenti (+10,0 punti), disponibilità di credito (10,7 punti). In area negativa, al contrario, si posiziona l’andamento della liquidità (-2,1 punti). Più stabili le previsioni su una ripresa dei livelli occupazionali a quota 100,8 che registrano un leggero miglioramento (+1,6 punti).  </w:t>
      </w:r>
    </w:p>
    <w:p w14:paraId="6C726751" w14:textId="2FC11449" w:rsidR="008567F5" w:rsidRDefault="00293676" w:rsidP="003817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676">
        <w:rPr>
          <w:rFonts w:ascii="Arial" w:hAnsi="Arial" w:cs="Arial"/>
          <w:sz w:val="24"/>
          <w:szCs w:val="24"/>
        </w:rPr>
        <w:t xml:space="preserve">L’indice </w:t>
      </w:r>
      <w:r w:rsidR="00DC147F">
        <w:rPr>
          <w:rFonts w:ascii="Arial" w:hAnsi="Arial" w:cs="Arial"/>
          <w:sz w:val="24"/>
          <w:szCs w:val="24"/>
        </w:rPr>
        <w:t>delle</w:t>
      </w:r>
      <w:r w:rsidRPr="00293676">
        <w:rPr>
          <w:rFonts w:ascii="Arial" w:hAnsi="Arial" w:cs="Arial"/>
          <w:sz w:val="24"/>
          <w:szCs w:val="24"/>
        </w:rPr>
        <w:t xml:space="preserve"> aspettative </w:t>
      </w:r>
      <w:r w:rsidR="00DC147F">
        <w:rPr>
          <w:rFonts w:ascii="Arial" w:hAnsi="Arial" w:cs="Arial"/>
          <w:sz w:val="24"/>
          <w:szCs w:val="24"/>
        </w:rPr>
        <w:t>su</w:t>
      </w:r>
      <w:r w:rsidRPr="00293676">
        <w:rPr>
          <w:rFonts w:ascii="Arial" w:hAnsi="Arial" w:cs="Arial"/>
          <w:sz w:val="24"/>
          <w:szCs w:val="24"/>
        </w:rPr>
        <w:t>ll’economia regionale, infine, continua a rappresentare il fattore più critico collocandosi ancora in area negativa</w:t>
      </w:r>
      <w:r w:rsidR="00DC147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C147F">
        <w:rPr>
          <w:rFonts w:ascii="Arial" w:hAnsi="Arial" w:cs="Arial"/>
          <w:sz w:val="24"/>
          <w:szCs w:val="24"/>
        </w:rPr>
        <w:t>T</w:t>
      </w:r>
      <w:r w:rsidRPr="00293676">
        <w:rPr>
          <w:rFonts w:ascii="Arial" w:hAnsi="Arial" w:cs="Arial"/>
          <w:sz w:val="24"/>
          <w:szCs w:val="24"/>
        </w:rPr>
        <w:t>uttavia</w:t>
      </w:r>
      <w:proofErr w:type="gramEnd"/>
      <w:r w:rsidRPr="00293676">
        <w:rPr>
          <w:rFonts w:ascii="Arial" w:hAnsi="Arial" w:cs="Arial"/>
          <w:sz w:val="24"/>
          <w:szCs w:val="24"/>
        </w:rPr>
        <w:t xml:space="preserve"> nell’ultimo anno, dopo la discesa del 2022 (-5,1 punti), fa registrare un notevole miglioramento con un rialzo di ben 33,2 punti attestandosi al valore più elevato della serie storica, passando da 52,3 a 85,5 punti.</w:t>
      </w:r>
    </w:p>
    <w:p w14:paraId="315D0767" w14:textId="77777777" w:rsidR="00DC147F" w:rsidRDefault="00DC147F" w:rsidP="003817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125204" w14:textId="77777777" w:rsidR="00DC147F" w:rsidRDefault="00DC147F" w:rsidP="003817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B66CDA" w14:textId="77777777" w:rsidR="00DC147F" w:rsidRDefault="00DC147F" w:rsidP="003817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8B5997" w14:textId="77777777" w:rsidR="00DC147F" w:rsidRDefault="00DC147F" w:rsidP="003817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E3CF48" w14:textId="77777777" w:rsidR="00DC147F" w:rsidRDefault="00DC147F" w:rsidP="003817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3848F3" w14:textId="77777777" w:rsidR="00DC147F" w:rsidRDefault="00DC147F" w:rsidP="003817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DFC49B" w14:textId="77777777" w:rsidR="00DC147F" w:rsidRDefault="00DC147F" w:rsidP="003817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1C96FE" w14:textId="77777777" w:rsidR="00DC147F" w:rsidRPr="00293676" w:rsidRDefault="00DC147F" w:rsidP="003817C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6041"/>
      </w:tblGrid>
      <w:tr w:rsidR="008567F5" w14:paraId="1E600166" w14:textId="77777777" w:rsidTr="00EF1841">
        <w:trPr>
          <w:trHeight w:val="567"/>
        </w:trPr>
        <w:tc>
          <w:tcPr>
            <w:tcW w:w="9061" w:type="dxa"/>
            <w:gridSpan w:val="2"/>
            <w:tcBorders>
              <w:bottom w:val="single" w:sz="18" w:space="0" w:color="003594"/>
            </w:tcBorders>
            <w:vAlign w:val="center"/>
          </w:tcPr>
          <w:p w14:paraId="7BF26D82" w14:textId="2CAEBF7E" w:rsidR="008567F5" w:rsidRPr="00F8542C" w:rsidRDefault="008567F5" w:rsidP="00FB0A77">
            <w:pPr>
              <w:spacing w:after="0" w:line="240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5C1438">
              <w:rPr>
                <w:rFonts w:ascii="Arial" w:eastAsiaTheme="minorHAnsi" w:hAnsi="Arial" w:cs="Arial"/>
                <w:b/>
                <w:color w:val="003594"/>
                <w:sz w:val="18"/>
                <w:szCs w:val="18"/>
              </w:rPr>
              <w:t>Contatti Stampa:</w:t>
            </w:r>
          </w:p>
        </w:tc>
      </w:tr>
      <w:tr w:rsidR="008567F5" w14:paraId="18919CE3" w14:textId="77777777" w:rsidTr="00EF1841">
        <w:trPr>
          <w:trHeight w:val="221"/>
        </w:trPr>
        <w:tc>
          <w:tcPr>
            <w:tcW w:w="0" w:type="auto"/>
            <w:gridSpan w:val="2"/>
            <w:tcBorders>
              <w:top w:val="single" w:sz="18" w:space="0" w:color="003594"/>
            </w:tcBorders>
            <w:vAlign w:val="center"/>
          </w:tcPr>
          <w:p w14:paraId="6422728E" w14:textId="77777777" w:rsidR="008567F5" w:rsidRPr="005C1438" w:rsidRDefault="008567F5" w:rsidP="00FB0A77">
            <w:pPr>
              <w:spacing w:after="0" w:line="240" w:lineRule="auto"/>
              <w:rPr>
                <w:rFonts w:ascii="Arial" w:eastAsiaTheme="minorHAnsi" w:hAnsi="Arial" w:cs="Arial"/>
                <w:b/>
                <w:color w:val="003594"/>
                <w:sz w:val="12"/>
                <w:szCs w:val="12"/>
              </w:rPr>
            </w:pPr>
          </w:p>
        </w:tc>
      </w:tr>
      <w:tr w:rsidR="00EB4E24" w:rsidRPr="00F42EC3" w14:paraId="50C3D658" w14:textId="77777777" w:rsidTr="00EF1841">
        <w:trPr>
          <w:gridAfter w:val="1"/>
          <w:wAfter w:w="6041" w:type="dxa"/>
          <w:trHeight w:val="567"/>
        </w:trPr>
        <w:tc>
          <w:tcPr>
            <w:tcW w:w="3020" w:type="dxa"/>
            <w:tcBorders>
              <w:left w:val="single" w:sz="12" w:space="0" w:color="007DBA"/>
              <w:right w:val="single" w:sz="12" w:space="0" w:color="007DBA"/>
            </w:tcBorders>
            <w:vAlign w:val="center"/>
          </w:tcPr>
          <w:p w14:paraId="253C6823" w14:textId="1CB453C9" w:rsidR="00EB4E24" w:rsidRPr="00204375" w:rsidRDefault="00EB4E24" w:rsidP="00FB0A77">
            <w:pPr>
              <w:spacing w:after="0" w:line="240" w:lineRule="auto"/>
              <w:rPr>
                <w:rFonts w:ascii="Arial" w:eastAsia="MS PGothic" w:hAnsi="Arial" w:cs="Arial"/>
                <w:b/>
                <w:bCs/>
                <w:color w:val="009671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MS PGothic" w:hAnsi="Arial" w:cs="Arial"/>
                <w:b/>
                <w:bCs/>
                <w:color w:val="009671"/>
                <w:kern w:val="24"/>
                <w:sz w:val="20"/>
                <w:szCs w:val="20"/>
                <w:lang w:eastAsia="it-IT"/>
              </w:rPr>
              <w:t>Federico Bria</w:t>
            </w:r>
          </w:p>
          <w:p w14:paraId="1973DEFC" w14:textId="7714147F" w:rsidR="00EB4E24" w:rsidRDefault="00EB4E24" w:rsidP="00FB0A77">
            <w:pPr>
              <w:spacing w:after="0" w:line="240" w:lineRule="auto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BCC </w:t>
            </w:r>
            <w:proofErr w:type="spellStart"/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Mediocrati</w:t>
            </w:r>
            <w:proofErr w:type="spellEnd"/>
          </w:p>
          <w:p w14:paraId="0D3E1BFA" w14:textId="5D225706" w:rsidR="00EB4E24" w:rsidRDefault="00EB4E24" w:rsidP="00FB0A77">
            <w:pPr>
              <w:spacing w:after="0" w:line="240" w:lineRule="auto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Capo Ufficio Stampa</w:t>
            </w:r>
          </w:p>
          <w:p w14:paraId="22C402AA" w14:textId="373C0493" w:rsidR="00EB4E24" w:rsidRPr="00BE34B2" w:rsidRDefault="00EB4E24" w:rsidP="00FB0A77">
            <w:pPr>
              <w:spacing w:after="0" w:line="240" w:lineRule="auto"/>
              <w:rPr>
                <w:rFonts w:ascii="Arial" w:eastAsiaTheme="minorHAnsi" w:hAnsi="Arial" w:cs="Arial"/>
                <w:bCs/>
                <w:sz w:val="18"/>
                <w:szCs w:val="18"/>
                <w:lang w:val="en-GB"/>
              </w:rPr>
            </w:pPr>
            <w:r w:rsidRPr="00F8542C"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  <w:t xml:space="preserve">Cell.: </w:t>
            </w:r>
            <w:r w:rsidRPr="00BE34B2">
              <w:rPr>
                <w:rFonts w:ascii="Arial" w:eastAsiaTheme="minorHAnsi" w:hAnsi="Arial" w:cs="Arial"/>
                <w:bCs/>
                <w:sz w:val="18"/>
                <w:szCs w:val="18"/>
                <w:lang w:val="en-GB"/>
              </w:rPr>
              <w:t>3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val="en-GB"/>
              </w:rPr>
              <w:t>31</w:t>
            </w:r>
            <w:r w:rsidRPr="00BE34B2">
              <w:rPr>
                <w:rFonts w:ascii="Arial" w:eastAsiaTheme="minorHAnsi" w:hAnsi="Arial" w:cs="Arial"/>
                <w:bCs/>
                <w:sz w:val="18"/>
                <w:szCs w:val="18"/>
                <w:lang w:val="en-GB"/>
              </w:rPr>
              <w:t>-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val="en-GB"/>
              </w:rPr>
              <w:t>6821213</w:t>
            </w:r>
          </w:p>
          <w:p w14:paraId="54A6FA1D" w14:textId="2CDA0DAF" w:rsidR="00EB4E24" w:rsidRPr="00BE34B2" w:rsidRDefault="00EB4E24" w:rsidP="00FB0A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val="en-GB"/>
              </w:rPr>
              <w:t>federico.bria</w:t>
            </w:r>
            <w:r w:rsidRPr="00BE34B2">
              <w:rPr>
                <w:rFonts w:ascii="Arial" w:eastAsiaTheme="minorHAnsi" w:hAnsi="Arial" w:cs="Arial"/>
                <w:bCs/>
                <w:sz w:val="18"/>
                <w:szCs w:val="18"/>
                <w:lang w:val="en-GB"/>
              </w:rPr>
              <w:t>@</w:t>
            </w:r>
            <w:r w:rsidR="00FB0A77">
              <w:rPr>
                <w:rFonts w:ascii="Arial" w:eastAsiaTheme="minorHAnsi" w:hAnsi="Arial" w:cs="Arial"/>
                <w:bCs/>
                <w:sz w:val="18"/>
                <w:szCs w:val="18"/>
                <w:lang w:val="en-GB"/>
              </w:rPr>
              <w:t>mediocrati</w:t>
            </w:r>
            <w:r w:rsidRPr="00BE34B2">
              <w:rPr>
                <w:rFonts w:ascii="Arial" w:eastAsiaTheme="minorHAnsi" w:hAnsi="Arial" w:cs="Arial"/>
                <w:bCs/>
                <w:sz w:val="18"/>
                <w:szCs w:val="18"/>
                <w:lang w:val="en-GB"/>
              </w:rPr>
              <w:t>.bcc.it</w:t>
            </w:r>
          </w:p>
        </w:tc>
      </w:tr>
    </w:tbl>
    <w:p w14:paraId="4E4F4868" w14:textId="77777777" w:rsidR="008567F5" w:rsidRPr="007B7906" w:rsidRDefault="008567F5" w:rsidP="00DC147F">
      <w:pPr>
        <w:spacing w:after="0" w:line="300" w:lineRule="exact"/>
        <w:rPr>
          <w:rFonts w:ascii="Arial" w:hAnsi="Arial" w:cs="Arial"/>
          <w:b/>
          <w:bCs/>
          <w:color w:val="003594"/>
          <w:sz w:val="25"/>
          <w:szCs w:val="25"/>
        </w:rPr>
      </w:pPr>
    </w:p>
    <w:sectPr w:rsidR="008567F5" w:rsidRPr="007B7906" w:rsidSect="00B4587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1134" w:left="1701" w:header="11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89BC2" w14:textId="77777777" w:rsidR="00C826ED" w:rsidRDefault="00C826ED" w:rsidP="00367BC9">
      <w:pPr>
        <w:spacing w:after="0" w:line="240" w:lineRule="auto"/>
      </w:pPr>
      <w:r>
        <w:separator/>
      </w:r>
    </w:p>
  </w:endnote>
  <w:endnote w:type="continuationSeparator" w:id="0">
    <w:p w14:paraId="467474B8" w14:textId="77777777" w:rsidR="00C826ED" w:rsidRDefault="00C826ED" w:rsidP="00367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171D6" w14:textId="77777777" w:rsidR="00D7450B" w:rsidRDefault="00D7450B">
    <w:pPr>
      <w:pStyle w:val="Pidipagina"/>
    </w:pPr>
    <w:r w:rsidRPr="008E031D">
      <w:rPr>
        <w:noProof/>
      </w:rPr>
      <mc:AlternateContent>
        <mc:Choice Requires="wps">
          <w:drawing>
            <wp:anchor distT="45720" distB="45720" distL="114300" distR="114300" simplePos="0" relativeHeight="251679744" behindDoc="1" locked="0" layoutInCell="1" allowOverlap="1" wp14:anchorId="6FAC3CDE" wp14:editId="3DA81040">
              <wp:simplePos x="0" y="0"/>
              <wp:positionH relativeFrom="margin">
                <wp:align>left</wp:align>
              </wp:positionH>
              <wp:positionV relativeFrom="paragraph">
                <wp:posOffset>-95794</wp:posOffset>
              </wp:positionV>
              <wp:extent cx="3044190" cy="221064"/>
              <wp:effectExtent l="0" t="0" r="3810" b="7620"/>
              <wp:wrapNone/>
              <wp:docPr id="1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4190" cy="22106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C5DCCC" w14:textId="77777777" w:rsidR="00D7450B" w:rsidRPr="00616456" w:rsidRDefault="00D7450B" w:rsidP="005E7006">
                          <w:pPr>
                            <w:pStyle w:val="BCCDatialpiede"/>
                          </w:pPr>
                          <w:r>
                            <w:t xml:space="preserve">Pag.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t xml:space="preserve"> di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AC3CD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0;margin-top:-7.55pt;width:239.7pt;height:17.4pt;z-index:-2516367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" stroked="f">
              <v:textbox>
                <w:txbxContent>
                  <w:p w14:paraId="4CC5DCCC" w14:textId="77777777" w:rsidR="00D7450B" w:rsidRPr="00616456" w:rsidRDefault="00D7450B" w:rsidP="005E7006">
                    <w:pPr>
                      <w:pStyle w:val="BCCDatialpiede"/>
                    </w:pPr>
                    <w:r>
                      <w:t xml:space="preserve">Pag.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t xml:space="preserve"> di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EAE3F" w14:textId="77777777" w:rsidR="00D7450B" w:rsidRDefault="00D7450B">
    <w:pPr>
      <w:pStyle w:val="Pidipagina"/>
    </w:pPr>
    <w:r w:rsidRPr="008E031D">
      <w:rPr>
        <w:noProof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4C7B3AB9" wp14:editId="2E88AF9D">
              <wp:simplePos x="0" y="0"/>
              <wp:positionH relativeFrom="margin">
                <wp:align>left</wp:align>
              </wp:positionH>
              <wp:positionV relativeFrom="paragraph">
                <wp:posOffset>-63137</wp:posOffset>
              </wp:positionV>
              <wp:extent cx="3044190" cy="221064"/>
              <wp:effectExtent l="0" t="0" r="3810" b="7620"/>
              <wp:wrapNone/>
              <wp:docPr id="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4190" cy="22106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8C6AEC" w14:textId="77777777" w:rsidR="00D7450B" w:rsidRPr="00616456" w:rsidRDefault="00D7450B" w:rsidP="00AF5E7D">
                          <w:pPr>
                            <w:pStyle w:val="BCCDatialpiede"/>
                          </w:pPr>
                          <w:r>
                            <w:t xml:space="preserve">Pag.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t xml:space="preserve"> a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7B3AB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4.95pt;width:239.7pt;height:17.4pt;z-index:-2516387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" stroked="f">
              <v:textbox>
                <w:txbxContent>
                  <w:p w14:paraId="658C6AEC" w14:textId="77777777" w:rsidR="00D7450B" w:rsidRPr="00616456" w:rsidRDefault="00D7450B" w:rsidP="00AF5E7D">
                    <w:pPr>
                      <w:pStyle w:val="BCCDatialpiede"/>
                    </w:pPr>
                    <w:r>
                      <w:t xml:space="preserve">Pag.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t xml:space="preserve"> a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010AD" w14:textId="77777777" w:rsidR="00C826ED" w:rsidRDefault="00C826ED" w:rsidP="00367BC9">
      <w:pPr>
        <w:spacing w:after="0" w:line="240" w:lineRule="auto"/>
      </w:pPr>
      <w:r>
        <w:separator/>
      </w:r>
    </w:p>
  </w:footnote>
  <w:footnote w:type="continuationSeparator" w:id="0">
    <w:p w14:paraId="706C3478" w14:textId="77777777" w:rsidR="00C826ED" w:rsidRDefault="00C826ED" w:rsidP="00367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8F0DA" w14:textId="5A54473A" w:rsidR="00D7450B" w:rsidRDefault="00767C56" w:rsidP="00767C56">
    <w:pPr>
      <w:pStyle w:val="Intestazione"/>
      <w:ind w:left="-1560"/>
    </w:pPr>
    <w:r>
      <w:rPr>
        <w:noProof/>
      </w:rPr>
      <w:drawing>
        <wp:inline distT="0" distB="0" distL="0" distR="0" wp14:anchorId="430BBF50" wp14:editId="3343E8C6">
          <wp:extent cx="2523656" cy="719455"/>
          <wp:effectExtent l="0" t="0" r="0" b="444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7647" cy="737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7452E" w14:textId="77777777" w:rsidR="00D7450B" w:rsidRDefault="00D7450B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3844DF9" wp14:editId="35B04AC9">
          <wp:simplePos x="0" y="0"/>
          <wp:positionH relativeFrom="page">
            <wp:posOffset>10267</wp:posOffset>
          </wp:positionH>
          <wp:positionV relativeFrom="paragraph">
            <wp:posOffset>-450215</wp:posOffset>
          </wp:positionV>
          <wp:extent cx="7539460" cy="1613645"/>
          <wp:effectExtent l="0" t="0" r="0" b="0"/>
          <wp:wrapNone/>
          <wp:docPr id="57" name="Elemento gra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460" cy="161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B5EEB8" w14:textId="77777777" w:rsidR="00D7450B" w:rsidRDefault="00D7450B">
    <w:pPr>
      <w:pStyle w:val="Intestazione"/>
    </w:pPr>
    <w:r>
      <w:rPr>
        <w:noProof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4731C847" wp14:editId="5BDD1BAA">
              <wp:simplePos x="0" y="0"/>
              <wp:positionH relativeFrom="margin">
                <wp:posOffset>4583430</wp:posOffset>
              </wp:positionH>
              <wp:positionV relativeFrom="paragraph">
                <wp:posOffset>165100</wp:posOffset>
              </wp:positionV>
              <wp:extent cx="1565275" cy="692150"/>
              <wp:effectExtent l="0" t="0" r="0" b="0"/>
              <wp:wrapSquare wrapText="bothSides"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5275" cy="692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B6016C" w14:textId="77777777" w:rsidR="00D7450B" w:rsidRDefault="00D7450B" w:rsidP="00AF5E7D">
                          <w:pPr>
                            <w:jc w:val="center"/>
                          </w:pPr>
                          <w:r>
                            <w:t>LOGO PARTNER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31C84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0.9pt;margin-top:13pt;width:123.25pt;height:54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" fillcolor="#d8d8d8 [2732]" stroked="f">
              <v:textbox>
                <w:txbxContent>
                  <w:p w14:paraId="69B6016C" w14:textId="77777777" w:rsidR="00D7450B" w:rsidRDefault="00D7450B" w:rsidP="00AF5E7D">
                    <w:pPr>
                      <w:jc w:val="center"/>
                    </w:pPr>
                    <w:r>
                      <w:t>LOGO PARTNER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208D"/>
    <w:multiLevelType w:val="hybridMultilevel"/>
    <w:tmpl w:val="E12C0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36FC2"/>
    <w:multiLevelType w:val="hybridMultilevel"/>
    <w:tmpl w:val="35A68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00AD0"/>
    <w:multiLevelType w:val="hybridMultilevel"/>
    <w:tmpl w:val="F8683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13587"/>
    <w:multiLevelType w:val="hybridMultilevel"/>
    <w:tmpl w:val="867E22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A7F14"/>
    <w:multiLevelType w:val="multilevel"/>
    <w:tmpl w:val="09C06ADC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5" w15:restartNumberingAfterBreak="0">
    <w:nsid w:val="3BA02E82"/>
    <w:multiLevelType w:val="hybridMultilevel"/>
    <w:tmpl w:val="C6040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C78FE"/>
    <w:multiLevelType w:val="hybridMultilevel"/>
    <w:tmpl w:val="31863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807454">
    <w:abstractNumId w:val="0"/>
  </w:num>
  <w:num w:numId="2" w16cid:durableId="1197045344">
    <w:abstractNumId w:val="6"/>
  </w:num>
  <w:num w:numId="3" w16cid:durableId="502861254">
    <w:abstractNumId w:val="2"/>
  </w:num>
  <w:num w:numId="4" w16cid:durableId="1224292048">
    <w:abstractNumId w:val="5"/>
  </w:num>
  <w:num w:numId="5" w16cid:durableId="186532155">
    <w:abstractNumId w:val="3"/>
  </w:num>
  <w:num w:numId="6" w16cid:durableId="496573350">
    <w:abstractNumId w:val="1"/>
  </w:num>
  <w:num w:numId="7" w16cid:durableId="4525285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C9"/>
    <w:rsid w:val="00002682"/>
    <w:rsid w:val="00003719"/>
    <w:rsid w:val="00004389"/>
    <w:rsid w:val="00007B61"/>
    <w:rsid w:val="0001045D"/>
    <w:rsid w:val="00015F16"/>
    <w:rsid w:val="000162C2"/>
    <w:rsid w:val="00021849"/>
    <w:rsid w:val="00024AEB"/>
    <w:rsid w:val="000325A9"/>
    <w:rsid w:val="000330C0"/>
    <w:rsid w:val="00034BAE"/>
    <w:rsid w:val="000352B0"/>
    <w:rsid w:val="00037228"/>
    <w:rsid w:val="00040B23"/>
    <w:rsid w:val="00045369"/>
    <w:rsid w:val="00045618"/>
    <w:rsid w:val="00046651"/>
    <w:rsid w:val="000466FA"/>
    <w:rsid w:val="00046DF2"/>
    <w:rsid w:val="000528F3"/>
    <w:rsid w:val="00054271"/>
    <w:rsid w:val="00055555"/>
    <w:rsid w:val="000567ED"/>
    <w:rsid w:val="000568A7"/>
    <w:rsid w:val="00072006"/>
    <w:rsid w:val="00074D5B"/>
    <w:rsid w:val="00086F23"/>
    <w:rsid w:val="00087062"/>
    <w:rsid w:val="00093B76"/>
    <w:rsid w:val="00094273"/>
    <w:rsid w:val="00096759"/>
    <w:rsid w:val="000970FA"/>
    <w:rsid w:val="00097391"/>
    <w:rsid w:val="00097B4F"/>
    <w:rsid w:val="000A407E"/>
    <w:rsid w:val="000A4C4E"/>
    <w:rsid w:val="000A53D6"/>
    <w:rsid w:val="000A57D8"/>
    <w:rsid w:val="000A6AB0"/>
    <w:rsid w:val="000B2BCD"/>
    <w:rsid w:val="000B30D6"/>
    <w:rsid w:val="000B3842"/>
    <w:rsid w:val="000C0979"/>
    <w:rsid w:val="000D1B59"/>
    <w:rsid w:val="000D48E8"/>
    <w:rsid w:val="000D7D09"/>
    <w:rsid w:val="000E44EE"/>
    <w:rsid w:val="000E4506"/>
    <w:rsid w:val="000F5B87"/>
    <w:rsid w:val="000F79E5"/>
    <w:rsid w:val="00101842"/>
    <w:rsid w:val="00111B87"/>
    <w:rsid w:val="00112EC4"/>
    <w:rsid w:val="0011713F"/>
    <w:rsid w:val="00125625"/>
    <w:rsid w:val="00130178"/>
    <w:rsid w:val="00134D95"/>
    <w:rsid w:val="0013540A"/>
    <w:rsid w:val="00143CA7"/>
    <w:rsid w:val="001571A9"/>
    <w:rsid w:val="00157758"/>
    <w:rsid w:val="00157B40"/>
    <w:rsid w:val="00160696"/>
    <w:rsid w:val="001618F3"/>
    <w:rsid w:val="00164EF6"/>
    <w:rsid w:val="00172859"/>
    <w:rsid w:val="00174481"/>
    <w:rsid w:val="00184B2D"/>
    <w:rsid w:val="001921DE"/>
    <w:rsid w:val="001930AE"/>
    <w:rsid w:val="00194A2C"/>
    <w:rsid w:val="00195C41"/>
    <w:rsid w:val="0019615A"/>
    <w:rsid w:val="001A08AA"/>
    <w:rsid w:val="001A468B"/>
    <w:rsid w:val="001A5D01"/>
    <w:rsid w:val="001B757D"/>
    <w:rsid w:val="001C1BA7"/>
    <w:rsid w:val="001C6CC1"/>
    <w:rsid w:val="001C7CF2"/>
    <w:rsid w:val="001D3FE3"/>
    <w:rsid w:val="001D5B18"/>
    <w:rsid w:val="001D6852"/>
    <w:rsid w:val="001D778C"/>
    <w:rsid w:val="001E171B"/>
    <w:rsid w:val="001E2540"/>
    <w:rsid w:val="001E61B7"/>
    <w:rsid w:val="001F0BE4"/>
    <w:rsid w:val="001F436C"/>
    <w:rsid w:val="001F5B8E"/>
    <w:rsid w:val="001F5E6B"/>
    <w:rsid w:val="00202069"/>
    <w:rsid w:val="00204375"/>
    <w:rsid w:val="00205647"/>
    <w:rsid w:val="0020687E"/>
    <w:rsid w:val="00216B30"/>
    <w:rsid w:val="002261BF"/>
    <w:rsid w:val="002428D4"/>
    <w:rsid w:val="00251860"/>
    <w:rsid w:val="00256FDF"/>
    <w:rsid w:val="00257AE7"/>
    <w:rsid w:val="00265E0B"/>
    <w:rsid w:val="00281545"/>
    <w:rsid w:val="00293676"/>
    <w:rsid w:val="00296976"/>
    <w:rsid w:val="002A1744"/>
    <w:rsid w:val="002A2BD1"/>
    <w:rsid w:val="002A4454"/>
    <w:rsid w:val="002A65DF"/>
    <w:rsid w:val="002A7542"/>
    <w:rsid w:val="002B670A"/>
    <w:rsid w:val="002B7DC4"/>
    <w:rsid w:val="002C0D3D"/>
    <w:rsid w:val="002C3A33"/>
    <w:rsid w:val="002D1A66"/>
    <w:rsid w:val="002D358F"/>
    <w:rsid w:val="002E1418"/>
    <w:rsid w:val="002E6993"/>
    <w:rsid w:val="002F06B1"/>
    <w:rsid w:val="002F5A66"/>
    <w:rsid w:val="002F7869"/>
    <w:rsid w:val="00301620"/>
    <w:rsid w:val="00306B89"/>
    <w:rsid w:val="00317B35"/>
    <w:rsid w:val="00321FB8"/>
    <w:rsid w:val="003243FF"/>
    <w:rsid w:val="00327DB9"/>
    <w:rsid w:val="00331FD7"/>
    <w:rsid w:val="0034043A"/>
    <w:rsid w:val="00346B7B"/>
    <w:rsid w:val="00352DCC"/>
    <w:rsid w:val="003541CC"/>
    <w:rsid w:val="0035650C"/>
    <w:rsid w:val="00363DD1"/>
    <w:rsid w:val="00365052"/>
    <w:rsid w:val="003660C2"/>
    <w:rsid w:val="003677ED"/>
    <w:rsid w:val="00367BC9"/>
    <w:rsid w:val="003711F9"/>
    <w:rsid w:val="00373028"/>
    <w:rsid w:val="00374226"/>
    <w:rsid w:val="00375E49"/>
    <w:rsid w:val="003817C5"/>
    <w:rsid w:val="00382954"/>
    <w:rsid w:val="00391548"/>
    <w:rsid w:val="00392341"/>
    <w:rsid w:val="00394BCE"/>
    <w:rsid w:val="00397E05"/>
    <w:rsid w:val="003B13E5"/>
    <w:rsid w:val="003C258D"/>
    <w:rsid w:val="003C4EB9"/>
    <w:rsid w:val="003D5DE6"/>
    <w:rsid w:val="003E1F5D"/>
    <w:rsid w:val="003F58AE"/>
    <w:rsid w:val="003F6104"/>
    <w:rsid w:val="003F617A"/>
    <w:rsid w:val="00403C7D"/>
    <w:rsid w:val="00404B95"/>
    <w:rsid w:val="00405F3C"/>
    <w:rsid w:val="004133F5"/>
    <w:rsid w:val="00413A8A"/>
    <w:rsid w:val="0041747C"/>
    <w:rsid w:val="00420BEC"/>
    <w:rsid w:val="00420F05"/>
    <w:rsid w:val="0042293F"/>
    <w:rsid w:val="004263F4"/>
    <w:rsid w:val="004265C3"/>
    <w:rsid w:val="00427183"/>
    <w:rsid w:val="00431BDE"/>
    <w:rsid w:val="00433575"/>
    <w:rsid w:val="004354F1"/>
    <w:rsid w:val="0043587E"/>
    <w:rsid w:val="00437445"/>
    <w:rsid w:val="00441190"/>
    <w:rsid w:val="004416E9"/>
    <w:rsid w:val="004418A5"/>
    <w:rsid w:val="00443F62"/>
    <w:rsid w:val="00444068"/>
    <w:rsid w:val="0044435A"/>
    <w:rsid w:val="00444720"/>
    <w:rsid w:val="004515E4"/>
    <w:rsid w:val="00466A1A"/>
    <w:rsid w:val="0047334A"/>
    <w:rsid w:val="004842C6"/>
    <w:rsid w:val="00493336"/>
    <w:rsid w:val="004939C4"/>
    <w:rsid w:val="004A245B"/>
    <w:rsid w:val="004B5E55"/>
    <w:rsid w:val="004B6931"/>
    <w:rsid w:val="004C67DA"/>
    <w:rsid w:val="004D32C4"/>
    <w:rsid w:val="004D40B9"/>
    <w:rsid w:val="004D4578"/>
    <w:rsid w:val="004F010F"/>
    <w:rsid w:val="004F1F61"/>
    <w:rsid w:val="004F403C"/>
    <w:rsid w:val="00505621"/>
    <w:rsid w:val="00514985"/>
    <w:rsid w:val="005172D3"/>
    <w:rsid w:val="00523F37"/>
    <w:rsid w:val="005240C5"/>
    <w:rsid w:val="005267DB"/>
    <w:rsid w:val="0053127A"/>
    <w:rsid w:val="00533681"/>
    <w:rsid w:val="00533F50"/>
    <w:rsid w:val="00536BB0"/>
    <w:rsid w:val="00540562"/>
    <w:rsid w:val="005425F7"/>
    <w:rsid w:val="00545586"/>
    <w:rsid w:val="0054660C"/>
    <w:rsid w:val="00551CE7"/>
    <w:rsid w:val="00552323"/>
    <w:rsid w:val="00554F56"/>
    <w:rsid w:val="005559AB"/>
    <w:rsid w:val="005662A1"/>
    <w:rsid w:val="00567444"/>
    <w:rsid w:val="00567989"/>
    <w:rsid w:val="005737C4"/>
    <w:rsid w:val="00577FCA"/>
    <w:rsid w:val="00590098"/>
    <w:rsid w:val="005959F1"/>
    <w:rsid w:val="005A28F4"/>
    <w:rsid w:val="005A4AF3"/>
    <w:rsid w:val="005B03CE"/>
    <w:rsid w:val="005C011B"/>
    <w:rsid w:val="005C1438"/>
    <w:rsid w:val="005C49C1"/>
    <w:rsid w:val="005D153E"/>
    <w:rsid w:val="005E63CD"/>
    <w:rsid w:val="005E7006"/>
    <w:rsid w:val="005F09E1"/>
    <w:rsid w:val="005F1112"/>
    <w:rsid w:val="005F1A00"/>
    <w:rsid w:val="005F30E4"/>
    <w:rsid w:val="005F552C"/>
    <w:rsid w:val="005F56A2"/>
    <w:rsid w:val="00600557"/>
    <w:rsid w:val="0060207D"/>
    <w:rsid w:val="00605C9A"/>
    <w:rsid w:val="00606184"/>
    <w:rsid w:val="00615591"/>
    <w:rsid w:val="00616456"/>
    <w:rsid w:val="00616E15"/>
    <w:rsid w:val="00625070"/>
    <w:rsid w:val="00627199"/>
    <w:rsid w:val="0063033C"/>
    <w:rsid w:val="0063115B"/>
    <w:rsid w:val="00641900"/>
    <w:rsid w:val="00643178"/>
    <w:rsid w:val="00646A85"/>
    <w:rsid w:val="006525F3"/>
    <w:rsid w:val="006529E1"/>
    <w:rsid w:val="006573DE"/>
    <w:rsid w:val="00663DB6"/>
    <w:rsid w:val="00670008"/>
    <w:rsid w:val="006712E9"/>
    <w:rsid w:val="006879D5"/>
    <w:rsid w:val="006A2018"/>
    <w:rsid w:val="006A3BF1"/>
    <w:rsid w:val="006A5D49"/>
    <w:rsid w:val="006A6C49"/>
    <w:rsid w:val="006B317E"/>
    <w:rsid w:val="006B67F8"/>
    <w:rsid w:val="006C3F96"/>
    <w:rsid w:val="006C5AFA"/>
    <w:rsid w:val="006C5C55"/>
    <w:rsid w:val="006C6ACE"/>
    <w:rsid w:val="006C6DE6"/>
    <w:rsid w:val="006C71E8"/>
    <w:rsid w:val="006D2969"/>
    <w:rsid w:val="006D32EA"/>
    <w:rsid w:val="006E0E69"/>
    <w:rsid w:val="006E1A21"/>
    <w:rsid w:val="006E25A5"/>
    <w:rsid w:val="006F20AD"/>
    <w:rsid w:val="006F7667"/>
    <w:rsid w:val="0070105F"/>
    <w:rsid w:val="00707804"/>
    <w:rsid w:val="007104EB"/>
    <w:rsid w:val="00712134"/>
    <w:rsid w:val="007155A5"/>
    <w:rsid w:val="00715751"/>
    <w:rsid w:val="00717618"/>
    <w:rsid w:val="007259B3"/>
    <w:rsid w:val="00726C2B"/>
    <w:rsid w:val="00732ADA"/>
    <w:rsid w:val="00732D82"/>
    <w:rsid w:val="00734E16"/>
    <w:rsid w:val="00735968"/>
    <w:rsid w:val="00757AFA"/>
    <w:rsid w:val="00760148"/>
    <w:rsid w:val="0076614B"/>
    <w:rsid w:val="00767C56"/>
    <w:rsid w:val="0077114A"/>
    <w:rsid w:val="00771482"/>
    <w:rsid w:val="00771D5E"/>
    <w:rsid w:val="00773F4D"/>
    <w:rsid w:val="0078026F"/>
    <w:rsid w:val="0078139C"/>
    <w:rsid w:val="00782F02"/>
    <w:rsid w:val="00785F38"/>
    <w:rsid w:val="00786FD2"/>
    <w:rsid w:val="0079620E"/>
    <w:rsid w:val="00796265"/>
    <w:rsid w:val="007A329C"/>
    <w:rsid w:val="007A7340"/>
    <w:rsid w:val="007B2243"/>
    <w:rsid w:val="007B69C9"/>
    <w:rsid w:val="007B6C24"/>
    <w:rsid w:val="007B7906"/>
    <w:rsid w:val="007C010B"/>
    <w:rsid w:val="007C4782"/>
    <w:rsid w:val="007D20BB"/>
    <w:rsid w:val="007D3DD2"/>
    <w:rsid w:val="007E0088"/>
    <w:rsid w:val="007E1BAB"/>
    <w:rsid w:val="007F25EE"/>
    <w:rsid w:val="007F4A6A"/>
    <w:rsid w:val="00800D2B"/>
    <w:rsid w:val="00806FC7"/>
    <w:rsid w:val="008075DE"/>
    <w:rsid w:val="00810B45"/>
    <w:rsid w:val="008116DB"/>
    <w:rsid w:val="00814E91"/>
    <w:rsid w:val="00815859"/>
    <w:rsid w:val="00821B35"/>
    <w:rsid w:val="008240E2"/>
    <w:rsid w:val="008262AC"/>
    <w:rsid w:val="00830A78"/>
    <w:rsid w:val="00833FA7"/>
    <w:rsid w:val="008342D0"/>
    <w:rsid w:val="0083780D"/>
    <w:rsid w:val="008458AF"/>
    <w:rsid w:val="00851649"/>
    <w:rsid w:val="0085292A"/>
    <w:rsid w:val="0085667D"/>
    <w:rsid w:val="008567F5"/>
    <w:rsid w:val="00862932"/>
    <w:rsid w:val="00863870"/>
    <w:rsid w:val="008664D4"/>
    <w:rsid w:val="00867384"/>
    <w:rsid w:val="00874184"/>
    <w:rsid w:val="00874DD6"/>
    <w:rsid w:val="008812DB"/>
    <w:rsid w:val="00881F60"/>
    <w:rsid w:val="00886EF1"/>
    <w:rsid w:val="00887702"/>
    <w:rsid w:val="008A0CA7"/>
    <w:rsid w:val="008B3744"/>
    <w:rsid w:val="008C213C"/>
    <w:rsid w:val="008D05FA"/>
    <w:rsid w:val="008D136E"/>
    <w:rsid w:val="008D18D5"/>
    <w:rsid w:val="008D6359"/>
    <w:rsid w:val="008E031D"/>
    <w:rsid w:val="008E16BA"/>
    <w:rsid w:val="008E55C4"/>
    <w:rsid w:val="008F2622"/>
    <w:rsid w:val="00900DAF"/>
    <w:rsid w:val="009018D2"/>
    <w:rsid w:val="00902B7F"/>
    <w:rsid w:val="00914006"/>
    <w:rsid w:val="00920F38"/>
    <w:rsid w:val="00927427"/>
    <w:rsid w:val="009374FA"/>
    <w:rsid w:val="00940A28"/>
    <w:rsid w:val="009430E4"/>
    <w:rsid w:val="009430EB"/>
    <w:rsid w:val="00944505"/>
    <w:rsid w:val="00945A6E"/>
    <w:rsid w:val="00960602"/>
    <w:rsid w:val="00962D01"/>
    <w:rsid w:val="009734E9"/>
    <w:rsid w:val="0098223B"/>
    <w:rsid w:val="009840DF"/>
    <w:rsid w:val="00984F3B"/>
    <w:rsid w:val="009916EC"/>
    <w:rsid w:val="009957C8"/>
    <w:rsid w:val="0099590A"/>
    <w:rsid w:val="009A5A4D"/>
    <w:rsid w:val="009A6A54"/>
    <w:rsid w:val="009B1753"/>
    <w:rsid w:val="009C2E21"/>
    <w:rsid w:val="009C48EE"/>
    <w:rsid w:val="009D5570"/>
    <w:rsid w:val="009D730B"/>
    <w:rsid w:val="009D7C6E"/>
    <w:rsid w:val="009E6326"/>
    <w:rsid w:val="009E71B9"/>
    <w:rsid w:val="009E7BD5"/>
    <w:rsid w:val="009F3EED"/>
    <w:rsid w:val="00A06F64"/>
    <w:rsid w:val="00A07B77"/>
    <w:rsid w:val="00A12A6C"/>
    <w:rsid w:val="00A1359A"/>
    <w:rsid w:val="00A1691C"/>
    <w:rsid w:val="00A20AD3"/>
    <w:rsid w:val="00A24169"/>
    <w:rsid w:val="00A30948"/>
    <w:rsid w:val="00A3349A"/>
    <w:rsid w:val="00A34F40"/>
    <w:rsid w:val="00A3757E"/>
    <w:rsid w:val="00A425A2"/>
    <w:rsid w:val="00A51CB1"/>
    <w:rsid w:val="00A5278A"/>
    <w:rsid w:val="00A5352A"/>
    <w:rsid w:val="00A55B9A"/>
    <w:rsid w:val="00A571FB"/>
    <w:rsid w:val="00A65B46"/>
    <w:rsid w:val="00A66366"/>
    <w:rsid w:val="00A73A4A"/>
    <w:rsid w:val="00A73D02"/>
    <w:rsid w:val="00A77EFE"/>
    <w:rsid w:val="00A80158"/>
    <w:rsid w:val="00A855E9"/>
    <w:rsid w:val="00A87B47"/>
    <w:rsid w:val="00A927F1"/>
    <w:rsid w:val="00A94173"/>
    <w:rsid w:val="00A97F01"/>
    <w:rsid w:val="00AA0611"/>
    <w:rsid w:val="00AA4496"/>
    <w:rsid w:val="00AA4FA2"/>
    <w:rsid w:val="00AB0AA5"/>
    <w:rsid w:val="00AB26ED"/>
    <w:rsid w:val="00AB276D"/>
    <w:rsid w:val="00AB385C"/>
    <w:rsid w:val="00AB3A1B"/>
    <w:rsid w:val="00AB43F1"/>
    <w:rsid w:val="00AB7803"/>
    <w:rsid w:val="00AC3F8A"/>
    <w:rsid w:val="00AE40F4"/>
    <w:rsid w:val="00AE51B8"/>
    <w:rsid w:val="00AE5BCB"/>
    <w:rsid w:val="00AE7219"/>
    <w:rsid w:val="00AE7B08"/>
    <w:rsid w:val="00AF287E"/>
    <w:rsid w:val="00AF28E6"/>
    <w:rsid w:val="00AF2EBE"/>
    <w:rsid w:val="00AF4997"/>
    <w:rsid w:val="00AF5E7D"/>
    <w:rsid w:val="00AF6813"/>
    <w:rsid w:val="00B003D0"/>
    <w:rsid w:val="00B00ADD"/>
    <w:rsid w:val="00B10EC6"/>
    <w:rsid w:val="00B13C9F"/>
    <w:rsid w:val="00B17F68"/>
    <w:rsid w:val="00B24471"/>
    <w:rsid w:val="00B246E5"/>
    <w:rsid w:val="00B2625B"/>
    <w:rsid w:val="00B278E2"/>
    <w:rsid w:val="00B35D93"/>
    <w:rsid w:val="00B35DC7"/>
    <w:rsid w:val="00B36F26"/>
    <w:rsid w:val="00B45877"/>
    <w:rsid w:val="00B474B5"/>
    <w:rsid w:val="00B52A34"/>
    <w:rsid w:val="00B53C4E"/>
    <w:rsid w:val="00B54A69"/>
    <w:rsid w:val="00B54F3D"/>
    <w:rsid w:val="00B55259"/>
    <w:rsid w:val="00B60813"/>
    <w:rsid w:val="00B64DC0"/>
    <w:rsid w:val="00B670F2"/>
    <w:rsid w:val="00B715D9"/>
    <w:rsid w:val="00B82B24"/>
    <w:rsid w:val="00B862D5"/>
    <w:rsid w:val="00B9455A"/>
    <w:rsid w:val="00BA1632"/>
    <w:rsid w:val="00BB09E9"/>
    <w:rsid w:val="00BB2EA2"/>
    <w:rsid w:val="00BB4268"/>
    <w:rsid w:val="00BC1EBD"/>
    <w:rsid w:val="00BC4788"/>
    <w:rsid w:val="00BC604D"/>
    <w:rsid w:val="00BC6B75"/>
    <w:rsid w:val="00BD04D7"/>
    <w:rsid w:val="00BD6527"/>
    <w:rsid w:val="00BE34B2"/>
    <w:rsid w:val="00BE52E9"/>
    <w:rsid w:val="00BE59DA"/>
    <w:rsid w:val="00BE6592"/>
    <w:rsid w:val="00BE7C64"/>
    <w:rsid w:val="00BE7EE4"/>
    <w:rsid w:val="00BF1763"/>
    <w:rsid w:val="00BF420F"/>
    <w:rsid w:val="00BF72C1"/>
    <w:rsid w:val="00C0536E"/>
    <w:rsid w:val="00C05CFD"/>
    <w:rsid w:val="00C1222F"/>
    <w:rsid w:val="00C146EA"/>
    <w:rsid w:val="00C17057"/>
    <w:rsid w:val="00C2142D"/>
    <w:rsid w:val="00C2230D"/>
    <w:rsid w:val="00C24C98"/>
    <w:rsid w:val="00C25AAA"/>
    <w:rsid w:val="00C311D2"/>
    <w:rsid w:val="00C3147A"/>
    <w:rsid w:val="00C33DD1"/>
    <w:rsid w:val="00C3419D"/>
    <w:rsid w:val="00C36298"/>
    <w:rsid w:val="00C37284"/>
    <w:rsid w:val="00C457EE"/>
    <w:rsid w:val="00C46B5B"/>
    <w:rsid w:val="00C47543"/>
    <w:rsid w:val="00C5101B"/>
    <w:rsid w:val="00C546E6"/>
    <w:rsid w:val="00C5585E"/>
    <w:rsid w:val="00C5684C"/>
    <w:rsid w:val="00C66C8C"/>
    <w:rsid w:val="00C72597"/>
    <w:rsid w:val="00C74A7E"/>
    <w:rsid w:val="00C74FD0"/>
    <w:rsid w:val="00C77040"/>
    <w:rsid w:val="00C826ED"/>
    <w:rsid w:val="00C82CFA"/>
    <w:rsid w:val="00C85F41"/>
    <w:rsid w:val="00C8712A"/>
    <w:rsid w:val="00CA7F76"/>
    <w:rsid w:val="00CB0C2D"/>
    <w:rsid w:val="00CB12DD"/>
    <w:rsid w:val="00CB131C"/>
    <w:rsid w:val="00CB1BF0"/>
    <w:rsid w:val="00CC020A"/>
    <w:rsid w:val="00CC2FCD"/>
    <w:rsid w:val="00CC5146"/>
    <w:rsid w:val="00CC5A39"/>
    <w:rsid w:val="00CD219A"/>
    <w:rsid w:val="00CE092B"/>
    <w:rsid w:val="00CE3DB3"/>
    <w:rsid w:val="00CE7ACD"/>
    <w:rsid w:val="00CE7E21"/>
    <w:rsid w:val="00CE7EB5"/>
    <w:rsid w:val="00CF4AD2"/>
    <w:rsid w:val="00D02503"/>
    <w:rsid w:val="00D07635"/>
    <w:rsid w:val="00D1183E"/>
    <w:rsid w:val="00D11EFE"/>
    <w:rsid w:val="00D12D40"/>
    <w:rsid w:val="00D21BC2"/>
    <w:rsid w:val="00D21E15"/>
    <w:rsid w:val="00D37C21"/>
    <w:rsid w:val="00D42EA0"/>
    <w:rsid w:val="00D60314"/>
    <w:rsid w:val="00D657B2"/>
    <w:rsid w:val="00D673F2"/>
    <w:rsid w:val="00D7450B"/>
    <w:rsid w:val="00D75478"/>
    <w:rsid w:val="00D76320"/>
    <w:rsid w:val="00D803BC"/>
    <w:rsid w:val="00D842E9"/>
    <w:rsid w:val="00D87465"/>
    <w:rsid w:val="00D904FF"/>
    <w:rsid w:val="00D940D1"/>
    <w:rsid w:val="00DA224B"/>
    <w:rsid w:val="00DA41E7"/>
    <w:rsid w:val="00DB0856"/>
    <w:rsid w:val="00DB45E4"/>
    <w:rsid w:val="00DC147F"/>
    <w:rsid w:val="00DC167C"/>
    <w:rsid w:val="00DC5BB7"/>
    <w:rsid w:val="00DC687F"/>
    <w:rsid w:val="00DC728B"/>
    <w:rsid w:val="00DC7819"/>
    <w:rsid w:val="00DD3296"/>
    <w:rsid w:val="00DD71BE"/>
    <w:rsid w:val="00DD7F14"/>
    <w:rsid w:val="00DE1C5A"/>
    <w:rsid w:val="00DE71E8"/>
    <w:rsid w:val="00DE7CD8"/>
    <w:rsid w:val="00DF0918"/>
    <w:rsid w:val="00E00716"/>
    <w:rsid w:val="00E024FA"/>
    <w:rsid w:val="00E05F7E"/>
    <w:rsid w:val="00E113EF"/>
    <w:rsid w:val="00E126A8"/>
    <w:rsid w:val="00E132DF"/>
    <w:rsid w:val="00E14494"/>
    <w:rsid w:val="00E20058"/>
    <w:rsid w:val="00E2081B"/>
    <w:rsid w:val="00E22626"/>
    <w:rsid w:val="00E237B9"/>
    <w:rsid w:val="00E25555"/>
    <w:rsid w:val="00E37017"/>
    <w:rsid w:val="00E44C8E"/>
    <w:rsid w:val="00E566D0"/>
    <w:rsid w:val="00E66D64"/>
    <w:rsid w:val="00E76927"/>
    <w:rsid w:val="00E80413"/>
    <w:rsid w:val="00E81CA7"/>
    <w:rsid w:val="00E832DE"/>
    <w:rsid w:val="00E91F1E"/>
    <w:rsid w:val="00E92C38"/>
    <w:rsid w:val="00E92FF1"/>
    <w:rsid w:val="00EA46F2"/>
    <w:rsid w:val="00EA5F84"/>
    <w:rsid w:val="00EB078E"/>
    <w:rsid w:val="00EB3815"/>
    <w:rsid w:val="00EB4197"/>
    <w:rsid w:val="00EB4E24"/>
    <w:rsid w:val="00EB4EFB"/>
    <w:rsid w:val="00EC1630"/>
    <w:rsid w:val="00EC7D22"/>
    <w:rsid w:val="00ED2581"/>
    <w:rsid w:val="00ED2680"/>
    <w:rsid w:val="00ED2D54"/>
    <w:rsid w:val="00ED7162"/>
    <w:rsid w:val="00EE3C13"/>
    <w:rsid w:val="00EF1633"/>
    <w:rsid w:val="00EF23BC"/>
    <w:rsid w:val="00EF45EE"/>
    <w:rsid w:val="00F00A40"/>
    <w:rsid w:val="00F0144B"/>
    <w:rsid w:val="00F02B68"/>
    <w:rsid w:val="00F034C9"/>
    <w:rsid w:val="00F071EE"/>
    <w:rsid w:val="00F0772C"/>
    <w:rsid w:val="00F0787E"/>
    <w:rsid w:val="00F2482C"/>
    <w:rsid w:val="00F276C1"/>
    <w:rsid w:val="00F31E16"/>
    <w:rsid w:val="00F31F4F"/>
    <w:rsid w:val="00F32F79"/>
    <w:rsid w:val="00F33076"/>
    <w:rsid w:val="00F33AB9"/>
    <w:rsid w:val="00F40A37"/>
    <w:rsid w:val="00F42EC3"/>
    <w:rsid w:val="00F43801"/>
    <w:rsid w:val="00F44623"/>
    <w:rsid w:val="00F51A44"/>
    <w:rsid w:val="00F574A8"/>
    <w:rsid w:val="00F60625"/>
    <w:rsid w:val="00F61660"/>
    <w:rsid w:val="00F61B73"/>
    <w:rsid w:val="00F7352A"/>
    <w:rsid w:val="00F766FB"/>
    <w:rsid w:val="00F76900"/>
    <w:rsid w:val="00F8542C"/>
    <w:rsid w:val="00F85E8B"/>
    <w:rsid w:val="00F94069"/>
    <w:rsid w:val="00F94A75"/>
    <w:rsid w:val="00F94B79"/>
    <w:rsid w:val="00FB0A77"/>
    <w:rsid w:val="00FB1616"/>
    <w:rsid w:val="00FB3703"/>
    <w:rsid w:val="00FB45FF"/>
    <w:rsid w:val="00FB5CFA"/>
    <w:rsid w:val="00FB5E2A"/>
    <w:rsid w:val="00FD1871"/>
    <w:rsid w:val="00FD7557"/>
    <w:rsid w:val="00FE38B2"/>
    <w:rsid w:val="00FE78F6"/>
    <w:rsid w:val="00FF2C93"/>
    <w:rsid w:val="00FF3B49"/>
    <w:rsid w:val="00FF4FC6"/>
    <w:rsid w:val="00FF76B5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9AA91"/>
  <w15:chartTrackingRefBased/>
  <w15:docId w15:val="{C7BDFFBB-88CD-470D-85B8-D23122C4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101B"/>
    <w:pPr>
      <w:spacing w:after="200" w:line="276" w:lineRule="auto"/>
      <w:jc w:val="both"/>
    </w:pPr>
    <w:rPr>
      <w:rFonts w:ascii="Arial Narrow" w:eastAsia="Calibri" w:hAnsi="Arial Narrow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7BC9"/>
    <w:pPr>
      <w:tabs>
        <w:tab w:val="center" w:pos="4819"/>
        <w:tab w:val="right" w:pos="9638"/>
      </w:tabs>
      <w:spacing w:after="0"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7BC9"/>
  </w:style>
  <w:style w:type="paragraph" w:styleId="Pidipagina">
    <w:name w:val="footer"/>
    <w:basedOn w:val="Normale"/>
    <w:link w:val="PidipaginaCarattere"/>
    <w:uiPriority w:val="99"/>
    <w:unhideWhenUsed/>
    <w:rsid w:val="00367BC9"/>
    <w:pPr>
      <w:tabs>
        <w:tab w:val="center" w:pos="4819"/>
        <w:tab w:val="right" w:pos="9638"/>
      </w:tabs>
      <w:spacing w:after="0"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7BC9"/>
  </w:style>
  <w:style w:type="paragraph" w:customStyle="1" w:styleId="BCCDatialpiede">
    <w:name w:val="BCC Dati al piede"/>
    <w:qFormat/>
    <w:rsid w:val="00616456"/>
    <w:pPr>
      <w:autoSpaceDE w:val="0"/>
      <w:autoSpaceDN w:val="0"/>
      <w:adjustRightInd w:val="0"/>
      <w:spacing w:after="0" w:line="264" w:lineRule="auto"/>
    </w:pPr>
    <w:rPr>
      <w:rFonts w:ascii="Arial" w:hAnsi="Arial" w:cs="Arial"/>
      <w:color w:val="003594"/>
      <w:sz w:val="13"/>
      <w:szCs w:val="13"/>
    </w:rPr>
  </w:style>
  <w:style w:type="character" w:customStyle="1" w:styleId="BCCDatialpiedeBOLD">
    <w:name w:val="BCC Dati al piede BOLD"/>
    <w:basedOn w:val="Carpredefinitoparagrafo"/>
    <w:uiPriority w:val="1"/>
    <w:qFormat/>
    <w:rsid w:val="00616456"/>
    <w:rPr>
      <w:rFonts w:ascii="Arial" w:hAnsi="Arial"/>
      <w:b/>
    </w:rPr>
  </w:style>
  <w:style w:type="paragraph" w:styleId="Nessunaspaziatura">
    <w:name w:val="No Spacing"/>
    <w:uiPriority w:val="1"/>
    <w:qFormat/>
    <w:rsid w:val="00962D01"/>
    <w:pPr>
      <w:spacing w:after="0" w:line="240" w:lineRule="auto"/>
    </w:pPr>
  </w:style>
  <w:style w:type="paragraph" w:customStyle="1" w:styleId="BCCNormale">
    <w:name w:val="BCC Normale"/>
    <w:basedOn w:val="Normale"/>
    <w:qFormat/>
    <w:rsid w:val="00AA4FA2"/>
    <w:pPr>
      <w:tabs>
        <w:tab w:val="left" w:pos="4820"/>
      </w:tabs>
      <w:spacing w:after="0" w:line="280" w:lineRule="exact"/>
      <w:jc w:val="left"/>
    </w:pPr>
    <w:rPr>
      <w:rFonts w:ascii="Arial" w:eastAsiaTheme="minorHAnsi" w:hAnsi="Arial" w:cstheme="minorBidi"/>
      <w:sz w:val="20"/>
    </w:rPr>
  </w:style>
  <w:style w:type="paragraph" w:customStyle="1" w:styleId="Sommariodipagina">
    <w:name w:val="Sommario di pagina"/>
    <w:basedOn w:val="Normale"/>
    <w:qFormat/>
    <w:rsid w:val="00C5101B"/>
    <w:rPr>
      <w:b/>
      <w:color w:val="7F7F7F"/>
      <w:sz w:val="24"/>
      <w:szCs w:val="24"/>
    </w:rPr>
  </w:style>
  <w:style w:type="table" w:styleId="Grigliatabella">
    <w:name w:val="Table Grid"/>
    <w:basedOn w:val="Tabellanormale"/>
    <w:uiPriority w:val="39"/>
    <w:rsid w:val="00F85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0437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D136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136E"/>
    <w:rPr>
      <w:color w:val="605E5C"/>
      <w:shd w:val="clear" w:color="auto" w:fill="E1DFDD"/>
    </w:rPr>
  </w:style>
  <w:style w:type="paragraph" w:styleId="Paragrafoelenco">
    <w:name w:val="List Paragraph"/>
    <w:aliases w:val="Titolo_3,1° livello - elenchi puntati,Liste GS,Paragrafo elenco1"/>
    <w:basedOn w:val="Normale"/>
    <w:link w:val="ParagrafoelencoCarattere"/>
    <w:qFormat/>
    <w:rsid w:val="00D673F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B161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B1616"/>
    <w:rPr>
      <w:rFonts w:ascii="Arial Narrow" w:eastAsia="Calibri" w:hAnsi="Arial Narrow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B1616"/>
    <w:rPr>
      <w:vertAlign w:val="superscript"/>
    </w:rPr>
  </w:style>
  <w:style w:type="character" w:customStyle="1" w:styleId="ParagrafoelencoCarattere">
    <w:name w:val="Paragrafo elenco Carattere"/>
    <w:aliases w:val="Titolo_3 Carattere,1° livello - elenchi puntati Carattere,Liste GS Carattere,Paragrafo elenco1 Carattere"/>
    <w:basedOn w:val="Carpredefinitoparagrafo"/>
    <w:link w:val="Paragrafoelenco"/>
    <w:uiPriority w:val="34"/>
    <w:locked/>
    <w:rsid w:val="00FE38B2"/>
    <w:rPr>
      <w:rFonts w:ascii="Arial Narrow" w:eastAsia="Calibri" w:hAnsi="Arial Narrow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2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21DE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1D68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arpredefinitoparagrafo1">
    <w:name w:val="Car. predefinito paragrafo1"/>
    <w:rsid w:val="00CE7E21"/>
  </w:style>
  <w:style w:type="paragraph" w:customStyle="1" w:styleId="Normale1">
    <w:name w:val="Normale1"/>
    <w:rsid w:val="00F276C1"/>
    <w:pPr>
      <w:suppressAutoHyphens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Revisione">
    <w:name w:val="Revision"/>
    <w:hidden/>
    <w:uiPriority w:val="99"/>
    <w:semiHidden/>
    <w:rsid w:val="007B2243"/>
    <w:pPr>
      <w:spacing w:after="0" w:line="240" w:lineRule="auto"/>
    </w:pPr>
    <w:rPr>
      <w:rFonts w:ascii="Arial Narrow" w:eastAsia="Calibri" w:hAnsi="Arial Narrow" w:cs="Times New Roman"/>
    </w:rPr>
  </w:style>
  <w:style w:type="paragraph" w:customStyle="1" w:styleId="xmsonormal">
    <w:name w:val="x_msonormal"/>
    <w:basedOn w:val="Normale"/>
    <w:rsid w:val="00C2142D"/>
    <w:pPr>
      <w:spacing w:after="0" w:line="240" w:lineRule="auto"/>
      <w:jc w:val="left"/>
    </w:pPr>
    <w:rPr>
      <w:rFonts w:ascii="Calibri" w:eastAsiaTheme="minorHAnsi" w:hAnsi="Calibri" w:cs="Calibri"/>
      <w:lang w:eastAsia="it-IT"/>
    </w:rPr>
  </w:style>
  <w:style w:type="paragraph" w:styleId="Corpotesto">
    <w:name w:val="Body Text"/>
    <w:basedOn w:val="Normale"/>
    <w:link w:val="CorpotestoCarattere1"/>
    <w:unhideWhenUsed/>
    <w:rsid w:val="00037228"/>
    <w:pPr>
      <w:spacing w:after="120" w:line="280" w:lineRule="exact"/>
    </w:pPr>
    <w:rPr>
      <w:rFonts w:ascii="Trebuchet MS" w:eastAsia="Times New Roman" w:hAnsi="Trebuchet MS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037228"/>
    <w:rPr>
      <w:rFonts w:ascii="Arial Narrow" w:eastAsia="Calibri" w:hAnsi="Arial Narrow" w:cs="Times New Roman"/>
    </w:rPr>
  </w:style>
  <w:style w:type="character" w:customStyle="1" w:styleId="CorpotestoCarattere1">
    <w:name w:val="Corpo testo Carattere1"/>
    <w:basedOn w:val="Carpredefinitoparagrafo"/>
    <w:link w:val="Corpotesto"/>
    <w:locked/>
    <w:rsid w:val="00037228"/>
    <w:rPr>
      <w:rFonts w:ascii="Trebuchet MS" w:eastAsia="Times New Roman" w:hAnsi="Trebuchet M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692CB-05E8-4643-8E91-7F22BD000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1789</Words>
  <Characters>10198</Characters>
  <Application>Microsoft Office Word</Application>
  <DocSecurity>0</DocSecurity>
  <Lines>84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Niccolò Desii</dc:creator>
  <cp:keywords/>
  <dc:description/>
  <cp:lastModifiedBy>Federico Bria</cp:lastModifiedBy>
  <cp:revision>4</cp:revision>
  <cp:lastPrinted>2022-11-23T18:16:00Z</cp:lastPrinted>
  <dcterms:created xsi:type="dcterms:W3CDTF">2023-11-29T12:19:00Z</dcterms:created>
  <dcterms:modified xsi:type="dcterms:W3CDTF">2023-11-29T12:33:00Z</dcterms:modified>
</cp:coreProperties>
</file>